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B2" w:rsidRDefault="00D37DB2" w:rsidP="002F45B2">
      <w:pPr>
        <w:pStyle w:val="NoSpacing"/>
        <w:rPr>
          <w:rFonts w:ascii="Times New Roman Bold" w:hAnsi="Times New Roman Bold" w:cs="Times New Roman"/>
          <w:b/>
          <w:smallCaps/>
          <w:lang w:val="en-US"/>
        </w:rPr>
      </w:pPr>
      <w:r>
        <w:rPr>
          <w:rFonts w:ascii="Times New Roman Bold" w:hAnsi="Times New Roman Bold" w:cs="Times New Roman"/>
          <w:b/>
          <w:smallCaps/>
          <w:lang w:val="en-US"/>
        </w:rPr>
        <w:t>ELTE, Faculty of Law</w:t>
      </w:r>
    </w:p>
    <w:p w:rsidR="006868FB" w:rsidRPr="00D37DB2" w:rsidRDefault="006868FB" w:rsidP="002F45B2">
      <w:pPr>
        <w:pStyle w:val="NoSpacing"/>
        <w:rPr>
          <w:rFonts w:ascii="Times New Roman Bold" w:hAnsi="Times New Roman Bold" w:cs="Times New Roman"/>
          <w:b/>
          <w:smallCaps/>
          <w:lang w:val="en-US"/>
        </w:rPr>
      </w:pPr>
      <w:r w:rsidRPr="00D37DB2">
        <w:rPr>
          <w:rFonts w:ascii="Times New Roman Bold" w:hAnsi="Times New Roman Bold" w:cs="Times New Roman"/>
          <w:b/>
          <w:smallCaps/>
          <w:lang w:val="en-US"/>
        </w:rPr>
        <w:t>Course description</w:t>
      </w:r>
      <w:r w:rsidR="00D37DB2">
        <w:rPr>
          <w:rFonts w:ascii="Times New Roman Bold" w:hAnsi="Times New Roman Bold" w:cs="Times New Roman"/>
          <w:b/>
          <w:smallCaps/>
          <w:lang w:val="en-US"/>
        </w:rPr>
        <w:t xml:space="preserve"> – civil law consequences of competition law infringements</w:t>
      </w:r>
    </w:p>
    <w:p w:rsidR="006868FB" w:rsidRPr="00D37DB2" w:rsidRDefault="006868FB" w:rsidP="002F45B2">
      <w:pPr>
        <w:pStyle w:val="NoSpacing"/>
        <w:rPr>
          <w:rFonts w:ascii="Times New Roman" w:hAnsi="Times New Roman" w:cs="Times New Roman"/>
          <w:lang w:val="en-US"/>
        </w:rPr>
      </w:pPr>
    </w:p>
    <w:tbl>
      <w:tblPr>
        <w:tblStyle w:val="TableGrid"/>
        <w:tblW w:w="0" w:type="auto"/>
        <w:tblLook w:val="04A0" w:firstRow="1" w:lastRow="0" w:firstColumn="1" w:lastColumn="0" w:noHBand="0" w:noVBand="1"/>
      </w:tblPr>
      <w:tblGrid>
        <w:gridCol w:w="1940"/>
        <w:gridCol w:w="698"/>
        <w:gridCol w:w="6424"/>
      </w:tblGrid>
      <w:tr w:rsidR="00D37DB2" w:rsidRPr="00D37DB2" w:rsidTr="00D37DB2">
        <w:tc>
          <w:tcPr>
            <w:tcW w:w="1838" w:type="dxa"/>
            <w:shd w:val="clear" w:color="auto" w:fill="DEEAF6" w:themeFill="accent1" w:themeFillTint="33"/>
          </w:tcPr>
          <w:p w:rsidR="006868FB" w:rsidRPr="00D37DB2" w:rsidRDefault="006868FB" w:rsidP="002F45B2">
            <w:pPr>
              <w:pStyle w:val="NoSpacing"/>
              <w:rPr>
                <w:rFonts w:ascii="Times New Roman" w:hAnsi="Times New Roman" w:cs="Times New Roman"/>
                <w:b/>
                <w:i/>
                <w:lang w:val="en-US"/>
              </w:rPr>
            </w:pPr>
            <w:r w:rsidRPr="00D37DB2">
              <w:rPr>
                <w:rFonts w:ascii="Times New Roman" w:hAnsi="Times New Roman" w:cs="Times New Roman"/>
                <w:b/>
                <w:i/>
                <w:lang w:val="en-US"/>
              </w:rPr>
              <w:t>Title:</w:t>
            </w:r>
          </w:p>
        </w:tc>
        <w:tc>
          <w:tcPr>
            <w:tcW w:w="709" w:type="dxa"/>
            <w:shd w:val="clear" w:color="auto" w:fill="DEEAF6" w:themeFill="accent1" w:themeFillTint="33"/>
          </w:tcPr>
          <w:p w:rsidR="006868FB" w:rsidRPr="00D37DB2" w:rsidRDefault="006868FB" w:rsidP="002F45B2">
            <w:pPr>
              <w:pStyle w:val="NoSpacing"/>
              <w:rPr>
                <w:rFonts w:ascii="Times New Roman" w:hAnsi="Times New Roman" w:cs="Times New Roman"/>
                <w:lang w:val="en-US"/>
              </w:rPr>
            </w:pPr>
          </w:p>
        </w:tc>
        <w:tc>
          <w:tcPr>
            <w:tcW w:w="6515" w:type="dxa"/>
            <w:shd w:val="clear" w:color="auto" w:fill="DEEAF6" w:themeFill="accent1" w:themeFillTint="33"/>
          </w:tcPr>
          <w:p w:rsidR="006868FB" w:rsidRPr="00D37DB2" w:rsidRDefault="006868FB" w:rsidP="002F45B2">
            <w:pPr>
              <w:pStyle w:val="NoSpacing"/>
              <w:rPr>
                <w:rFonts w:ascii="Times New Roman" w:hAnsi="Times New Roman" w:cs="Times New Roman"/>
                <w:b/>
                <w:i/>
                <w:lang w:val="en-US"/>
              </w:rPr>
            </w:pPr>
            <w:r w:rsidRPr="00D37DB2">
              <w:rPr>
                <w:rFonts w:ascii="Times New Roman" w:hAnsi="Times New Roman" w:cs="Times New Roman"/>
                <w:b/>
                <w:i/>
                <w:lang w:val="en-US"/>
              </w:rPr>
              <w:t>Civil law consequences of competition law infringements</w:t>
            </w:r>
          </w:p>
        </w:tc>
      </w:tr>
      <w:tr w:rsidR="006868FB" w:rsidRPr="00D37DB2" w:rsidTr="006868FB">
        <w:tc>
          <w:tcPr>
            <w:tcW w:w="1838" w:type="dxa"/>
          </w:tcPr>
          <w:p w:rsidR="006868FB" w:rsidRPr="00D37DB2" w:rsidRDefault="006868FB" w:rsidP="002F45B2">
            <w:pPr>
              <w:pStyle w:val="NoSpacing"/>
              <w:rPr>
                <w:rFonts w:ascii="Times New Roman" w:hAnsi="Times New Roman" w:cs="Times New Roman"/>
                <w:b/>
                <w:i/>
                <w:lang w:val="en-US"/>
              </w:rPr>
            </w:pPr>
          </w:p>
        </w:tc>
        <w:tc>
          <w:tcPr>
            <w:tcW w:w="709" w:type="dxa"/>
          </w:tcPr>
          <w:p w:rsidR="006868FB" w:rsidRPr="00D37DB2" w:rsidRDefault="006868FB" w:rsidP="002F45B2">
            <w:pPr>
              <w:pStyle w:val="NoSpacing"/>
              <w:rPr>
                <w:rFonts w:ascii="Times New Roman" w:hAnsi="Times New Roman" w:cs="Times New Roman"/>
                <w:lang w:val="en-US"/>
              </w:rPr>
            </w:pPr>
          </w:p>
        </w:tc>
        <w:tc>
          <w:tcPr>
            <w:tcW w:w="6515" w:type="dxa"/>
          </w:tcPr>
          <w:p w:rsidR="006868FB" w:rsidRPr="00D37DB2" w:rsidRDefault="006868FB" w:rsidP="002F45B2">
            <w:pPr>
              <w:pStyle w:val="NoSpacing"/>
              <w:rPr>
                <w:rFonts w:ascii="Times New Roman" w:hAnsi="Times New Roman" w:cs="Times New Roman"/>
                <w:lang w:val="en-US"/>
              </w:rPr>
            </w:pPr>
          </w:p>
        </w:tc>
      </w:tr>
      <w:tr w:rsidR="00D37DB2" w:rsidRPr="00D37DB2" w:rsidTr="00D37DB2">
        <w:tc>
          <w:tcPr>
            <w:tcW w:w="1838" w:type="dxa"/>
            <w:shd w:val="clear" w:color="auto" w:fill="DEEAF6" w:themeFill="accent1" w:themeFillTint="33"/>
          </w:tcPr>
          <w:p w:rsidR="006868FB" w:rsidRPr="00D37DB2" w:rsidRDefault="006868FB" w:rsidP="002F45B2">
            <w:pPr>
              <w:pStyle w:val="NoSpacing"/>
              <w:rPr>
                <w:rFonts w:ascii="Times New Roman" w:hAnsi="Times New Roman" w:cs="Times New Roman"/>
                <w:b/>
                <w:i/>
                <w:lang w:val="en-US"/>
              </w:rPr>
            </w:pPr>
            <w:r w:rsidRPr="00D37DB2">
              <w:rPr>
                <w:rFonts w:ascii="Times New Roman" w:hAnsi="Times New Roman" w:cs="Times New Roman"/>
                <w:b/>
                <w:i/>
                <w:lang w:val="en-US"/>
              </w:rPr>
              <w:t>Lecturer:</w:t>
            </w:r>
          </w:p>
        </w:tc>
        <w:tc>
          <w:tcPr>
            <w:tcW w:w="709" w:type="dxa"/>
            <w:shd w:val="clear" w:color="auto" w:fill="DEEAF6" w:themeFill="accent1" w:themeFillTint="33"/>
          </w:tcPr>
          <w:p w:rsidR="006868FB" w:rsidRPr="00D37DB2" w:rsidRDefault="006868FB" w:rsidP="002F45B2">
            <w:pPr>
              <w:pStyle w:val="NoSpacing"/>
              <w:rPr>
                <w:rFonts w:ascii="Times New Roman" w:hAnsi="Times New Roman" w:cs="Times New Roman"/>
                <w:lang w:val="en-US"/>
              </w:rPr>
            </w:pPr>
          </w:p>
        </w:tc>
        <w:tc>
          <w:tcPr>
            <w:tcW w:w="6515" w:type="dxa"/>
            <w:shd w:val="clear" w:color="auto" w:fill="DEEAF6" w:themeFill="accent1" w:themeFillTint="33"/>
          </w:tcPr>
          <w:p w:rsidR="006868FB" w:rsidRPr="00D37DB2" w:rsidRDefault="006868FB" w:rsidP="002F45B2">
            <w:pPr>
              <w:pStyle w:val="NoSpacing"/>
              <w:rPr>
                <w:rFonts w:ascii="Times New Roman" w:hAnsi="Times New Roman" w:cs="Times New Roman"/>
                <w:lang w:val="en-US"/>
              </w:rPr>
            </w:pPr>
            <w:r w:rsidRPr="00D37DB2">
              <w:rPr>
                <w:rFonts w:ascii="Times New Roman" w:hAnsi="Times New Roman" w:cs="Times New Roman"/>
                <w:lang w:val="en-US"/>
              </w:rPr>
              <w:t>Gábor Fejes, Department of Civil Law</w:t>
            </w:r>
          </w:p>
          <w:p w:rsidR="006868FB" w:rsidRPr="00D37DB2" w:rsidRDefault="006868FB" w:rsidP="00D37DB2">
            <w:pPr>
              <w:pStyle w:val="NoSpacing"/>
              <w:rPr>
                <w:rFonts w:ascii="Times New Roman" w:hAnsi="Times New Roman" w:cs="Times New Roman"/>
                <w:lang w:val="en-US"/>
              </w:rPr>
            </w:pPr>
            <w:r w:rsidRPr="00D37DB2">
              <w:rPr>
                <w:rFonts w:ascii="Times New Roman" w:hAnsi="Times New Roman" w:cs="Times New Roman"/>
                <w:lang w:val="en-US"/>
              </w:rPr>
              <w:t>attorney-at-law, associate professor, visiting lecturer</w:t>
            </w:r>
          </w:p>
        </w:tc>
      </w:tr>
      <w:tr w:rsidR="00D37DB2" w:rsidRPr="00D37DB2" w:rsidTr="006868FB">
        <w:tc>
          <w:tcPr>
            <w:tcW w:w="1838" w:type="dxa"/>
          </w:tcPr>
          <w:p w:rsidR="00D37DB2" w:rsidRPr="00D37DB2" w:rsidRDefault="00D37DB2" w:rsidP="002F45B2">
            <w:pPr>
              <w:pStyle w:val="NoSpacing"/>
              <w:rPr>
                <w:rFonts w:ascii="Times New Roman" w:hAnsi="Times New Roman" w:cs="Times New Roman"/>
                <w:b/>
                <w:i/>
                <w:lang w:val="en-US"/>
              </w:rPr>
            </w:pPr>
          </w:p>
        </w:tc>
        <w:tc>
          <w:tcPr>
            <w:tcW w:w="709" w:type="dxa"/>
          </w:tcPr>
          <w:p w:rsidR="00D37DB2" w:rsidRPr="00D37DB2" w:rsidRDefault="00D37DB2" w:rsidP="002F45B2">
            <w:pPr>
              <w:pStyle w:val="NoSpacing"/>
              <w:rPr>
                <w:rFonts w:ascii="Times New Roman" w:hAnsi="Times New Roman" w:cs="Times New Roman"/>
                <w:lang w:val="en-US"/>
              </w:rPr>
            </w:pPr>
          </w:p>
        </w:tc>
        <w:tc>
          <w:tcPr>
            <w:tcW w:w="6515" w:type="dxa"/>
          </w:tcPr>
          <w:p w:rsidR="00D37DB2" w:rsidRPr="00D37DB2" w:rsidRDefault="00D37DB2" w:rsidP="006868FB">
            <w:pPr>
              <w:pStyle w:val="NoSpacing"/>
              <w:rPr>
                <w:rFonts w:ascii="Times New Roman" w:hAnsi="Times New Roman" w:cs="Times New Roman"/>
                <w:lang w:val="en-US"/>
              </w:rPr>
            </w:pPr>
          </w:p>
        </w:tc>
      </w:tr>
      <w:tr w:rsidR="00D37DB2" w:rsidRPr="00D37DB2" w:rsidTr="00D37DB2">
        <w:tc>
          <w:tcPr>
            <w:tcW w:w="1838" w:type="dxa"/>
            <w:shd w:val="clear" w:color="auto" w:fill="DEEAF6" w:themeFill="accent1" w:themeFillTint="33"/>
          </w:tcPr>
          <w:p w:rsidR="006868FB" w:rsidRPr="00D37DB2" w:rsidRDefault="006868FB" w:rsidP="002F45B2">
            <w:pPr>
              <w:pStyle w:val="NoSpacing"/>
              <w:rPr>
                <w:rFonts w:ascii="Times New Roman" w:hAnsi="Times New Roman" w:cs="Times New Roman"/>
                <w:b/>
                <w:i/>
                <w:lang w:val="en-US"/>
              </w:rPr>
            </w:pPr>
            <w:r w:rsidRPr="00D37DB2">
              <w:rPr>
                <w:rFonts w:ascii="Times New Roman" w:hAnsi="Times New Roman" w:cs="Times New Roman"/>
                <w:b/>
                <w:i/>
                <w:lang w:val="en-US"/>
              </w:rPr>
              <w:t>Brief course outline</w:t>
            </w:r>
          </w:p>
        </w:tc>
        <w:tc>
          <w:tcPr>
            <w:tcW w:w="709" w:type="dxa"/>
            <w:shd w:val="clear" w:color="auto" w:fill="DEEAF6" w:themeFill="accent1" w:themeFillTint="33"/>
          </w:tcPr>
          <w:p w:rsidR="006868FB" w:rsidRPr="00D37DB2" w:rsidRDefault="006868FB" w:rsidP="002F45B2">
            <w:pPr>
              <w:pStyle w:val="NoSpacing"/>
              <w:rPr>
                <w:rFonts w:ascii="Times New Roman" w:hAnsi="Times New Roman" w:cs="Times New Roman"/>
                <w:lang w:val="en-US"/>
              </w:rPr>
            </w:pPr>
          </w:p>
        </w:tc>
        <w:tc>
          <w:tcPr>
            <w:tcW w:w="6515" w:type="dxa"/>
            <w:shd w:val="clear" w:color="auto" w:fill="DEEAF6" w:themeFill="accent1" w:themeFillTint="33"/>
          </w:tcPr>
          <w:p w:rsidR="006868FB" w:rsidRPr="00D37DB2" w:rsidRDefault="006868FB" w:rsidP="006868FB">
            <w:pPr>
              <w:pStyle w:val="NoSpacing"/>
              <w:rPr>
                <w:rFonts w:ascii="Times New Roman" w:hAnsi="Times New Roman" w:cs="Times New Roman"/>
                <w:lang w:val="en-US"/>
              </w:rPr>
            </w:pPr>
            <w:r w:rsidRPr="00D37DB2">
              <w:rPr>
                <w:rFonts w:ascii="Times New Roman" w:hAnsi="Times New Roman" w:cs="Times New Roman"/>
                <w:lang w:val="en-US"/>
              </w:rPr>
              <w:t xml:space="preserve">The course seeks to explore the main interface between classical antitrust competition law (anti-competitive agreements, abuses of dominant positions and merger control) and civil law. We will focus on the remedies civil law may offer in cases of competition law infringements. (From the perspective of competition law, this is </w:t>
            </w:r>
            <w:r w:rsidR="00D37DB2">
              <w:rPr>
                <w:rFonts w:ascii="Times New Roman" w:hAnsi="Times New Roman" w:cs="Times New Roman"/>
                <w:lang w:val="en-US"/>
              </w:rPr>
              <w:t xml:space="preserve">often </w:t>
            </w:r>
            <w:r w:rsidRPr="00D37DB2">
              <w:rPr>
                <w:rFonts w:ascii="Times New Roman" w:hAnsi="Times New Roman" w:cs="Times New Roman"/>
                <w:lang w:val="en-US"/>
              </w:rPr>
              <w:t xml:space="preserve">called “private enforcement of competition law”.)  </w:t>
            </w:r>
          </w:p>
          <w:p w:rsidR="006868FB" w:rsidRPr="00D37DB2" w:rsidRDefault="006868FB" w:rsidP="006868FB">
            <w:pPr>
              <w:pStyle w:val="NoSpacing"/>
              <w:rPr>
                <w:rFonts w:ascii="Times New Roman" w:hAnsi="Times New Roman" w:cs="Times New Roman"/>
                <w:lang w:val="en-US"/>
              </w:rPr>
            </w:pPr>
          </w:p>
          <w:p w:rsidR="006868FB" w:rsidRPr="00D37DB2" w:rsidRDefault="006868FB" w:rsidP="00D37DB2">
            <w:pPr>
              <w:pStyle w:val="NoSpacing"/>
              <w:rPr>
                <w:rFonts w:ascii="Times New Roman" w:hAnsi="Times New Roman" w:cs="Times New Roman"/>
                <w:lang w:val="en-US"/>
              </w:rPr>
            </w:pPr>
            <w:r w:rsidRPr="00D37DB2">
              <w:rPr>
                <w:rFonts w:ascii="Times New Roman" w:hAnsi="Times New Roman" w:cs="Times New Roman"/>
                <w:lang w:val="en-US"/>
              </w:rPr>
              <w:t xml:space="preserve">The focus will be – after some basic introduction to antitrust law - on (i) nullity of contracts as a result of competition law infringements, (ii) damages claims arising out of competition law infringements as well as (iii) injunctive relief, under civil law, in case of a competition law infringement. </w:t>
            </w:r>
          </w:p>
        </w:tc>
      </w:tr>
      <w:tr w:rsidR="00D37DB2" w:rsidRPr="00D37DB2" w:rsidTr="006868FB">
        <w:tc>
          <w:tcPr>
            <w:tcW w:w="1838" w:type="dxa"/>
          </w:tcPr>
          <w:p w:rsidR="00D37DB2" w:rsidRPr="00D37DB2" w:rsidRDefault="00D37DB2" w:rsidP="002F45B2">
            <w:pPr>
              <w:pStyle w:val="NoSpacing"/>
              <w:rPr>
                <w:rFonts w:ascii="Times New Roman" w:hAnsi="Times New Roman" w:cs="Times New Roman"/>
                <w:b/>
                <w:i/>
                <w:lang w:val="en-US"/>
              </w:rPr>
            </w:pPr>
          </w:p>
        </w:tc>
        <w:tc>
          <w:tcPr>
            <w:tcW w:w="709" w:type="dxa"/>
          </w:tcPr>
          <w:p w:rsidR="00D37DB2" w:rsidRPr="00D37DB2" w:rsidRDefault="00D37DB2" w:rsidP="002F45B2">
            <w:pPr>
              <w:pStyle w:val="NoSpacing"/>
              <w:rPr>
                <w:rFonts w:ascii="Times New Roman" w:hAnsi="Times New Roman" w:cs="Times New Roman"/>
                <w:lang w:val="en-US"/>
              </w:rPr>
            </w:pPr>
          </w:p>
        </w:tc>
        <w:tc>
          <w:tcPr>
            <w:tcW w:w="6515" w:type="dxa"/>
          </w:tcPr>
          <w:p w:rsidR="00D37DB2" w:rsidRPr="00D37DB2" w:rsidRDefault="00D37DB2" w:rsidP="009B51E9">
            <w:pPr>
              <w:pStyle w:val="NoSpacing"/>
              <w:rPr>
                <w:rFonts w:ascii="Times New Roman" w:hAnsi="Times New Roman" w:cs="Times New Roman"/>
                <w:lang w:val="en-US"/>
              </w:rPr>
            </w:pPr>
          </w:p>
        </w:tc>
      </w:tr>
      <w:tr w:rsidR="00D37DB2" w:rsidRPr="00D37DB2" w:rsidTr="00D37DB2">
        <w:tc>
          <w:tcPr>
            <w:tcW w:w="1838" w:type="dxa"/>
            <w:shd w:val="clear" w:color="auto" w:fill="DEEAF6" w:themeFill="accent1" w:themeFillTint="33"/>
          </w:tcPr>
          <w:p w:rsidR="006868FB" w:rsidRPr="00D37DB2" w:rsidRDefault="006868FB" w:rsidP="002F45B2">
            <w:pPr>
              <w:pStyle w:val="NoSpacing"/>
              <w:rPr>
                <w:rFonts w:ascii="Times New Roman" w:hAnsi="Times New Roman" w:cs="Times New Roman"/>
                <w:b/>
                <w:i/>
                <w:lang w:val="en-US"/>
              </w:rPr>
            </w:pPr>
            <w:r w:rsidRPr="00D37DB2">
              <w:rPr>
                <w:rFonts w:ascii="Times New Roman" w:hAnsi="Times New Roman" w:cs="Times New Roman"/>
                <w:b/>
                <w:i/>
                <w:lang w:val="en-US"/>
              </w:rPr>
              <w:t>Preconditions of participation</w:t>
            </w:r>
          </w:p>
        </w:tc>
        <w:tc>
          <w:tcPr>
            <w:tcW w:w="709" w:type="dxa"/>
            <w:shd w:val="clear" w:color="auto" w:fill="DEEAF6" w:themeFill="accent1" w:themeFillTint="33"/>
          </w:tcPr>
          <w:p w:rsidR="006868FB" w:rsidRPr="00D37DB2" w:rsidRDefault="006868FB" w:rsidP="002F45B2">
            <w:pPr>
              <w:pStyle w:val="NoSpacing"/>
              <w:rPr>
                <w:rFonts w:ascii="Times New Roman" w:hAnsi="Times New Roman" w:cs="Times New Roman"/>
                <w:lang w:val="en-US"/>
              </w:rPr>
            </w:pPr>
          </w:p>
        </w:tc>
        <w:tc>
          <w:tcPr>
            <w:tcW w:w="6515" w:type="dxa"/>
            <w:shd w:val="clear" w:color="auto" w:fill="DEEAF6" w:themeFill="accent1" w:themeFillTint="33"/>
          </w:tcPr>
          <w:p w:rsidR="00D37DB2" w:rsidRDefault="006868FB" w:rsidP="009B51E9">
            <w:pPr>
              <w:pStyle w:val="NoSpacing"/>
              <w:rPr>
                <w:rFonts w:ascii="Times New Roman" w:hAnsi="Times New Roman" w:cs="Times New Roman"/>
                <w:lang w:val="en-US"/>
              </w:rPr>
            </w:pPr>
            <w:r w:rsidRPr="00D37DB2">
              <w:rPr>
                <w:rFonts w:ascii="Times New Roman" w:hAnsi="Times New Roman" w:cs="Times New Roman"/>
                <w:lang w:val="en-US"/>
              </w:rPr>
              <w:t xml:space="preserve">Students are expected to have a </w:t>
            </w:r>
            <w:r w:rsidR="009B51E9" w:rsidRPr="00D37DB2">
              <w:rPr>
                <w:rFonts w:ascii="Times New Roman" w:hAnsi="Times New Roman" w:cs="Times New Roman"/>
                <w:lang w:val="en-US"/>
              </w:rPr>
              <w:t>fairly good</w:t>
            </w:r>
            <w:r w:rsidRPr="00D37DB2">
              <w:rPr>
                <w:rFonts w:ascii="Times New Roman" w:hAnsi="Times New Roman" w:cs="Times New Roman"/>
                <w:lang w:val="en-US"/>
              </w:rPr>
              <w:t xml:space="preserve"> understanding of their own domestic civil law at the very least in terms of nul</w:t>
            </w:r>
            <w:r w:rsidR="009B51E9" w:rsidRPr="00D37DB2">
              <w:rPr>
                <w:rFonts w:ascii="Times New Roman" w:hAnsi="Times New Roman" w:cs="Times New Roman"/>
                <w:lang w:val="en-US"/>
              </w:rPr>
              <w:t xml:space="preserve">lity of contracts and tort law (and preferably the whole of the law of obligations). Knowledge of competition law is not a pre-requisite, but is very welcome. </w:t>
            </w:r>
          </w:p>
          <w:p w:rsidR="00D37DB2" w:rsidRDefault="00D37DB2" w:rsidP="009B51E9">
            <w:pPr>
              <w:pStyle w:val="NoSpacing"/>
              <w:rPr>
                <w:rFonts w:ascii="Times New Roman" w:hAnsi="Times New Roman" w:cs="Times New Roman"/>
                <w:lang w:val="en-US"/>
              </w:rPr>
            </w:pPr>
          </w:p>
          <w:p w:rsidR="006868FB" w:rsidRPr="00D37DB2" w:rsidRDefault="009B51E9" w:rsidP="00D37DB2">
            <w:pPr>
              <w:pStyle w:val="NoSpacing"/>
              <w:rPr>
                <w:rFonts w:ascii="Times New Roman" w:hAnsi="Times New Roman" w:cs="Times New Roman"/>
                <w:lang w:val="en-US"/>
              </w:rPr>
            </w:pPr>
            <w:r w:rsidRPr="00D37DB2">
              <w:rPr>
                <w:rFonts w:ascii="Times New Roman" w:hAnsi="Times New Roman" w:cs="Times New Roman"/>
                <w:lang w:val="en-US"/>
              </w:rPr>
              <w:t>Sufficient command of English will be needed to (i) read and present judgements of the CJEU, (ii) to read EU legislative measures (i.e. the Damages Directive) and (iii) to make short presentations on prevailing practice in their home jurisdiction on the particular issues discussed during class.</w:t>
            </w:r>
            <w:r w:rsidR="006868FB" w:rsidRPr="00D37DB2">
              <w:rPr>
                <w:rFonts w:ascii="Times New Roman" w:hAnsi="Times New Roman" w:cs="Times New Roman"/>
                <w:lang w:val="en-US"/>
              </w:rPr>
              <w:t xml:space="preserve">  </w:t>
            </w:r>
          </w:p>
        </w:tc>
      </w:tr>
      <w:tr w:rsidR="00D37DB2" w:rsidRPr="00D37DB2" w:rsidTr="006868FB">
        <w:tc>
          <w:tcPr>
            <w:tcW w:w="1838" w:type="dxa"/>
          </w:tcPr>
          <w:p w:rsidR="00D37DB2" w:rsidRPr="00D37DB2" w:rsidRDefault="00D37DB2" w:rsidP="002F45B2">
            <w:pPr>
              <w:pStyle w:val="NoSpacing"/>
              <w:rPr>
                <w:rFonts w:ascii="Times New Roman" w:hAnsi="Times New Roman" w:cs="Times New Roman"/>
                <w:b/>
                <w:i/>
                <w:lang w:val="en-US"/>
              </w:rPr>
            </w:pPr>
          </w:p>
        </w:tc>
        <w:tc>
          <w:tcPr>
            <w:tcW w:w="709" w:type="dxa"/>
          </w:tcPr>
          <w:p w:rsidR="00D37DB2" w:rsidRPr="00D37DB2" w:rsidRDefault="00D37DB2" w:rsidP="002F45B2">
            <w:pPr>
              <w:pStyle w:val="NoSpacing"/>
              <w:rPr>
                <w:rFonts w:ascii="Times New Roman" w:hAnsi="Times New Roman" w:cs="Times New Roman"/>
                <w:lang w:val="en-US"/>
              </w:rPr>
            </w:pPr>
          </w:p>
        </w:tc>
        <w:tc>
          <w:tcPr>
            <w:tcW w:w="6515" w:type="dxa"/>
          </w:tcPr>
          <w:p w:rsidR="00D37DB2" w:rsidRPr="00D37DB2" w:rsidRDefault="00D37DB2" w:rsidP="009B51E9">
            <w:pPr>
              <w:pStyle w:val="NoSpacing"/>
              <w:rPr>
                <w:rFonts w:ascii="Times New Roman" w:hAnsi="Times New Roman" w:cs="Times New Roman"/>
                <w:lang w:val="en-US"/>
              </w:rPr>
            </w:pPr>
          </w:p>
        </w:tc>
      </w:tr>
      <w:tr w:rsidR="00D37DB2" w:rsidRPr="00D37DB2" w:rsidTr="00D37DB2">
        <w:tc>
          <w:tcPr>
            <w:tcW w:w="1838" w:type="dxa"/>
            <w:shd w:val="clear" w:color="auto" w:fill="DEEAF6" w:themeFill="accent1" w:themeFillTint="33"/>
          </w:tcPr>
          <w:p w:rsidR="009B51E9" w:rsidRPr="00D37DB2" w:rsidRDefault="009B51E9" w:rsidP="002F45B2">
            <w:pPr>
              <w:pStyle w:val="NoSpacing"/>
              <w:rPr>
                <w:rFonts w:ascii="Times New Roman" w:hAnsi="Times New Roman" w:cs="Times New Roman"/>
                <w:b/>
                <w:i/>
                <w:lang w:val="en-US"/>
              </w:rPr>
            </w:pPr>
            <w:r w:rsidRPr="00D37DB2">
              <w:rPr>
                <w:rFonts w:ascii="Times New Roman" w:hAnsi="Times New Roman" w:cs="Times New Roman"/>
                <w:b/>
                <w:i/>
                <w:lang w:val="en-US"/>
              </w:rPr>
              <w:t>Literature/</w:t>
            </w:r>
          </w:p>
          <w:p w:rsidR="006868FB" w:rsidRPr="00D37DB2" w:rsidRDefault="009B51E9" w:rsidP="002F45B2">
            <w:pPr>
              <w:pStyle w:val="NoSpacing"/>
              <w:rPr>
                <w:rFonts w:ascii="Times New Roman" w:hAnsi="Times New Roman" w:cs="Times New Roman"/>
                <w:b/>
                <w:i/>
                <w:lang w:val="en-US"/>
              </w:rPr>
            </w:pPr>
            <w:r w:rsidRPr="00D37DB2">
              <w:rPr>
                <w:rFonts w:ascii="Times New Roman" w:hAnsi="Times New Roman" w:cs="Times New Roman"/>
                <w:b/>
                <w:i/>
                <w:lang w:val="en-US"/>
              </w:rPr>
              <w:t>textbooks</w:t>
            </w:r>
          </w:p>
        </w:tc>
        <w:tc>
          <w:tcPr>
            <w:tcW w:w="709" w:type="dxa"/>
            <w:shd w:val="clear" w:color="auto" w:fill="DEEAF6" w:themeFill="accent1" w:themeFillTint="33"/>
          </w:tcPr>
          <w:p w:rsidR="006868FB" w:rsidRPr="00D37DB2" w:rsidRDefault="006868FB" w:rsidP="002F45B2">
            <w:pPr>
              <w:pStyle w:val="NoSpacing"/>
              <w:rPr>
                <w:rFonts w:ascii="Times New Roman" w:hAnsi="Times New Roman" w:cs="Times New Roman"/>
                <w:lang w:val="en-US"/>
              </w:rPr>
            </w:pPr>
          </w:p>
        </w:tc>
        <w:tc>
          <w:tcPr>
            <w:tcW w:w="6515" w:type="dxa"/>
            <w:shd w:val="clear" w:color="auto" w:fill="DEEAF6" w:themeFill="accent1" w:themeFillTint="33"/>
          </w:tcPr>
          <w:p w:rsidR="00CF3BCE" w:rsidRPr="00D37DB2" w:rsidRDefault="009B51E9" w:rsidP="00D37DB2">
            <w:pPr>
              <w:pStyle w:val="NoSpacing"/>
              <w:rPr>
                <w:rFonts w:ascii="Times New Roman" w:hAnsi="Times New Roman" w:cs="Times New Roman"/>
                <w:lang w:val="en-US"/>
              </w:rPr>
            </w:pPr>
            <w:r w:rsidRPr="00D37DB2">
              <w:rPr>
                <w:rFonts w:ascii="Times New Roman" w:hAnsi="Times New Roman" w:cs="Times New Roman"/>
                <w:lang w:val="en-US"/>
              </w:rPr>
              <w:t xml:space="preserve">There is a vast variety of handbooks on the subject in the English language which students are more than welcome to study. However, the course will not be based on or around one book: rather there will be reading for each (or most of) the classes (mostly CJEU judgments and shorter articles) which the lecturer will make available. </w:t>
            </w:r>
          </w:p>
        </w:tc>
      </w:tr>
      <w:tr w:rsidR="00D37DB2" w:rsidRPr="00D37DB2" w:rsidTr="006868FB">
        <w:tc>
          <w:tcPr>
            <w:tcW w:w="1838" w:type="dxa"/>
          </w:tcPr>
          <w:p w:rsidR="00D37DB2" w:rsidRPr="00D37DB2" w:rsidRDefault="00D37DB2" w:rsidP="002F45B2">
            <w:pPr>
              <w:pStyle w:val="NoSpacing"/>
              <w:rPr>
                <w:rFonts w:ascii="Times New Roman" w:hAnsi="Times New Roman" w:cs="Times New Roman"/>
                <w:b/>
                <w:i/>
                <w:lang w:val="en-US"/>
              </w:rPr>
            </w:pPr>
          </w:p>
        </w:tc>
        <w:tc>
          <w:tcPr>
            <w:tcW w:w="709" w:type="dxa"/>
          </w:tcPr>
          <w:p w:rsidR="00D37DB2" w:rsidRPr="00D37DB2" w:rsidRDefault="00D37DB2" w:rsidP="002F45B2">
            <w:pPr>
              <w:pStyle w:val="NoSpacing"/>
              <w:rPr>
                <w:rFonts w:ascii="Times New Roman" w:hAnsi="Times New Roman" w:cs="Times New Roman"/>
                <w:lang w:val="en-US"/>
              </w:rPr>
            </w:pPr>
          </w:p>
        </w:tc>
        <w:tc>
          <w:tcPr>
            <w:tcW w:w="6515" w:type="dxa"/>
          </w:tcPr>
          <w:p w:rsidR="00D37DB2" w:rsidRPr="00D37DB2" w:rsidRDefault="00D37DB2" w:rsidP="002F45B2">
            <w:pPr>
              <w:pStyle w:val="NoSpacing"/>
              <w:rPr>
                <w:rFonts w:ascii="Times New Roman" w:hAnsi="Times New Roman" w:cs="Times New Roman"/>
                <w:lang w:val="en-US"/>
              </w:rPr>
            </w:pPr>
          </w:p>
        </w:tc>
      </w:tr>
      <w:tr w:rsidR="00D37DB2" w:rsidRPr="00D37DB2" w:rsidTr="00D37DB2">
        <w:tc>
          <w:tcPr>
            <w:tcW w:w="1838" w:type="dxa"/>
            <w:shd w:val="clear" w:color="auto" w:fill="DEEAF6" w:themeFill="accent1" w:themeFillTint="33"/>
          </w:tcPr>
          <w:p w:rsidR="006868FB" w:rsidRPr="00D37DB2" w:rsidRDefault="00CF3BCE" w:rsidP="002F45B2">
            <w:pPr>
              <w:pStyle w:val="NoSpacing"/>
              <w:rPr>
                <w:rFonts w:ascii="Times New Roman" w:hAnsi="Times New Roman" w:cs="Times New Roman"/>
                <w:b/>
                <w:i/>
                <w:lang w:val="en-US"/>
              </w:rPr>
            </w:pPr>
            <w:r w:rsidRPr="00D37DB2">
              <w:rPr>
                <w:rFonts w:ascii="Times New Roman" w:hAnsi="Times New Roman" w:cs="Times New Roman"/>
                <w:b/>
                <w:i/>
                <w:lang w:val="en-US"/>
              </w:rPr>
              <w:t>Assessment/</w:t>
            </w:r>
            <w:proofErr w:type="spellStart"/>
            <w:r w:rsidRPr="00D37DB2">
              <w:rPr>
                <w:rFonts w:ascii="Times New Roman" w:hAnsi="Times New Roman" w:cs="Times New Roman"/>
                <w:b/>
                <w:i/>
                <w:lang w:val="en-US"/>
              </w:rPr>
              <w:t>exami</w:t>
            </w:r>
            <w:proofErr w:type="spellEnd"/>
            <w:r w:rsidRPr="00D37DB2">
              <w:rPr>
                <w:rFonts w:ascii="Times New Roman" w:hAnsi="Times New Roman" w:cs="Times New Roman"/>
                <w:b/>
                <w:i/>
                <w:lang w:val="en-US"/>
              </w:rPr>
              <w:t>-nation</w:t>
            </w:r>
          </w:p>
        </w:tc>
        <w:tc>
          <w:tcPr>
            <w:tcW w:w="709" w:type="dxa"/>
            <w:shd w:val="clear" w:color="auto" w:fill="DEEAF6" w:themeFill="accent1" w:themeFillTint="33"/>
          </w:tcPr>
          <w:p w:rsidR="006868FB" w:rsidRPr="00D37DB2" w:rsidRDefault="006868FB" w:rsidP="002F45B2">
            <w:pPr>
              <w:pStyle w:val="NoSpacing"/>
              <w:rPr>
                <w:rFonts w:ascii="Times New Roman" w:hAnsi="Times New Roman" w:cs="Times New Roman"/>
                <w:lang w:val="en-US"/>
              </w:rPr>
            </w:pPr>
          </w:p>
        </w:tc>
        <w:tc>
          <w:tcPr>
            <w:tcW w:w="6515" w:type="dxa"/>
            <w:shd w:val="clear" w:color="auto" w:fill="DEEAF6" w:themeFill="accent1" w:themeFillTint="33"/>
          </w:tcPr>
          <w:p w:rsidR="006868FB" w:rsidRPr="00D37DB2" w:rsidRDefault="00CF3BCE" w:rsidP="002F45B2">
            <w:pPr>
              <w:pStyle w:val="NoSpacing"/>
              <w:rPr>
                <w:rFonts w:ascii="Times New Roman" w:hAnsi="Times New Roman" w:cs="Times New Roman"/>
                <w:lang w:val="en-US"/>
              </w:rPr>
            </w:pPr>
            <w:r w:rsidRPr="00D37DB2">
              <w:rPr>
                <w:rFonts w:ascii="Times New Roman" w:hAnsi="Times New Roman" w:cs="Times New Roman"/>
                <w:lang w:val="en-US"/>
              </w:rPr>
              <w:t>Students will receive their grade on the basis of the following three factors:</w:t>
            </w:r>
          </w:p>
          <w:p w:rsidR="00CF3BCE" w:rsidRPr="00D37DB2" w:rsidRDefault="00CF3BCE" w:rsidP="002F45B2">
            <w:pPr>
              <w:pStyle w:val="NoSpacing"/>
              <w:rPr>
                <w:rFonts w:ascii="Times New Roman" w:hAnsi="Times New Roman" w:cs="Times New Roman"/>
                <w:lang w:val="en-US"/>
              </w:rPr>
            </w:pPr>
          </w:p>
          <w:p w:rsidR="00CF3BCE" w:rsidRPr="00D37DB2" w:rsidRDefault="00CF3BCE" w:rsidP="00CF3BCE">
            <w:pPr>
              <w:pStyle w:val="NoSpacing"/>
              <w:numPr>
                <w:ilvl w:val="0"/>
                <w:numId w:val="1"/>
              </w:numPr>
              <w:rPr>
                <w:rFonts w:ascii="Times New Roman" w:hAnsi="Times New Roman" w:cs="Times New Roman"/>
                <w:lang w:val="en-US"/>
              </w:rPr>
            </w:pPr>
            <w:proofErr w:type="gramStart"/>
            <w:r w:rsidRPr="00D37DB2">
              <w:rPr>
                <w:rFonts w:ascii="Times New Roman" w:hAnsi="Times New Roman" w:cs="Times New Roman"/>
                <w:lang w:val="en-US"/>
              </w:rPr>
              <w:t>participation</w:t>
            </w:r>
            <w:proofErr w:type="gramEnd"/>
            <w:r w:rsidRPr="00D37DB2">
              <w:rPr>
                <w:rFonts w:ascii="Times New Roman" w:hAnsi="Times New Roman" w:cs="Times New Roman"/>
                <w:lang w:val="en-US"/>
              </w:rPr>
              <w:t xml:space="preserve"> in class work (20%)</w:t>
            </w:r>
          </w:p>
          <w:p w:rsidR="00CF3BCE" w:rsidRPr="00D37DB2" w:rsidRDefault="00CF3BCE" w:rsidP="00CF3BCE">
            <w:pPr>
              <w:pStyle w:val="NoSpacing"/>
              <w:numPr>
                <w:ilvl w:val="0"/>
                <w:numId w:val="1"/>
              </w:numPr>
              <w:rPr>
                <w:rFonts w:ascii="Times New Roman" w:hAnsi="Times New Roman" w:cs="Times New Roman"/>
                <w:lang w:val="en-US"/>
              </w:rPr>
            </w:pPr>
            <w:proofErr w:type="gramStart"/>
            <w:r w:rsidRPr="00D37DB2">
              <w:rPr>
                <w:rFonts w:ascii="Times New Roman" w:hAnsi="Times New Roman" w:cs="Times New Roman"/>
                <w:lang w:val="en-US"/>
              </w:rPr>
              <w:t>presentation</w:t>
            </w:r>
            <w:proofErr w:type="gramEnd"/>
            <w:r w:rsidRPr="00D37DB2">
              <w:rPr>
                <w:rFonts w:ascii="Times New Roman" w:hAnsi="Times New Roman" w:cs="Times New Roman"/>
                <w:lang w:val="en-US"/>
              </w:rPr>
              <w:t xml:space="preserve"> held on one topic designated by the lecturer under the student’s own domestic law (30%)</w:t>
            </w:r>
          </w:p>
          <w:p w:rsidR="00CF3BCE" w:rsidRPr="00D37DB2" w:rsidRDefault="00CF3BCE" w:rsidP="00D37DB2">
            <w:pPr>
              <w:pStyle w:val="NoSpacing"/>
              <w:numPr>
                <w:ilvl w:val="0"/>
                <w:numId w:val="1"/>
              </w:numPr>
              <w:rPr>
                <w:rFonts w:ascii="Times New Roman" w:hAnsi="Times New Roman" w:cs="Times New Roman"/>
                <w:lang w:val="en-US"/>
              </w:rPr>
            </w:pPr>
            <w:proofErr w:type="gramStart"/>
            <w:r w:rsidRPr="00D37DB2">
              <w:rPr>
                <w:rFonts w:ascii="Times New Roman" w:hAnsi="Times New Roman" w:cs="Times New Roman"/>
                <w:lang w:val="en-US"/>
              </w:rPr>
              <w:t>a</w:t>
            </w:r>
            <w:proofErr w:type="gramEnd"/>
            <w:r w:rsidRPr="00D37DB2">
              <w:rPr>
                <w:rFonts w:ascii="Times New Roman" w:hAnsi="Times New Roman" w:cs="Times New Roman"/>
                <w:lang w:val="en-US"/>
              </w:rPr>
              <w:t xml:space="preserve"> paper no longer than 10 pages on one selected topic of the course (50%).</w:t>
            </w:r>
          </w:p>
        </w:tc>
      </w:tr>
    </w:tbl>
    <w:p w:rsidR="006868FB" w:rsidRPr="006868FB" w:rsidRDefault="006868FB" w:rsidP="00D37DB2">
      <w:pPr>
        <w:pStyle w:val="NoSpacing"/>
        <w:rPr>
          <w:rFonts w:ascii="Times New Roman" w:hAnsi="Times New Roman" w:cs="Times New Roman"/>
          <w:sz w:val="24"/>
          <w:szCs w:val="24"/>
          <w:lang w:val="en-US"/>
        </w:rPr>
      </w:pPr>
      <w:bookmarkStart w:id="0" w:name="_GoBack"/>
      <w:bookmarkEnd w:id="0"/>
    </w:p>
    <w:sectPr w:rsidR="006868FB" w:rsidRPr="00686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F3E68"/>
    <w:multiLevelType w:val="hybridMultilevel"/>
    <w:tmpl w:val="E222E1E2"/>
    <w:lvl w:ilvl="0" w:tplc="11BEF7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FB"/>
    <w:rsid w:val="00075760"/>
    <w:rsid w:val="00205F70"/>
    <w:rsid w:val="002F45B2"/>
    <w:rsid w:val="006868FB"/>
    <w:rsid w:val="0086355B"/>
    <w:rsid w:val="009B51E9"/>
    <w:rsid w:val="00CF3BCE"/>
    <w:rsid w:val="00D37D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4D111-AF4D-4B9B-B184-45E34407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5B2"/>
    <w:pPr>
      <w:spacing w:after="0" w:line="240" w:lineRule="auto"/>
    </w:pPr>
  </w:style>
  <w:style w:type="table" w:styleId="TableGrid">
    <w:name w:val="Table Grid"/>
    <w:basedOn w:val="TableNormal"/>
    <w:uiPriority w:val="39"/>
    <w:rsid w:val="0068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shade val="50000"/>
          </a:schemeClr>
        </a:lnRef>
        <a:fillRef idx="1">
          <a:schemeClr val="dk1"/>
        </a:fillRef>
        <a:effectRef idx="0">
          <a:schemeClr val="dk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290</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Oppenheim</dc:creator>
  <cp:keywords/>
  <dc:description/>
  <cp:lastModifiedBy>Oppenheim</cp:lastModifiedBy>
  <cp:revision>1</cp:revision>
  <dcterms:created xsi:type="dcterms:W3CDTF">2020-01-16T15:37:00Z</dcterms:created>
  <dcterms:modified xsi:type="dcterms:W3CDTF">2020-01-16T16:18:00Z</dcterms:modified>
</cp:coreProperties>
</file>