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CC" w:rsidRPr="00751FA0" w:rsidRDefault="008072CC" w:rsidP="008072CC">
      <w:pPr>
        <w:pStyle w:val="Listaszerbekezds"/>
        <w:ind w:left="0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I. évfolyam nappali tagozat</w:t>
      </w:r>
    </w:p>
    <w:p w:rsidR="008072CC" w:rsidRPr="00C81B67" w:rsidRDefault="008072CC" w:rsidP="00C81B67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bookmarkStart w:id="0" w:name="_MON_1384841825"/>
    <w:bookmarkStart w:id="1" w:name="_MON_1385285356"/>
    <w:bookmarkStart w:id="2" w:name="_MON_1382440398"/>
    <w:bookmarkStart w:id="3" w:name="_MON_1384779731"/>
    <w:bookmarkStart w:id="4" w:name="_MON_1385468749"/>
    <w:bookmarkStart w:id="5" w:name="_MON_1387806907"/>
    <w:bookmarkEnd w:id="0"/>
    <w:bookmarkEnd w:id="1"/>
    <w:bookmarkEnd w:id="2"/>
    <w:bookmarkEnd w:id="3"/>
    <w:bookmarkEnd w:id="4"/>
    <w:bookmarkEnd w:id="5"/>
    <w:bookmarkStart w:id="6" w:name="_MON_1383232026"/>
    <w:bookmarkEnd w:id="6"/>
    <w:p w:rsidR="00411112" w:rsidRDefault="00BB29C8" w:rsidP="001F5538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4838" w:dyaOrig="8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5pt;height:443.25pt" o:ole="">
            <v:imagedata r:id="rId9" o:title=""/>
          </v:shape>
          <o:OLEObject Type="Embed" ProgID="Word.Document.12" ShapeID="_x0000_i1025" DrawAspect="Content" ObjectID="_1577015574" r:id="rId10"/>
        </w:object>
      </w:r>
    </w:p>
    <w:p w:rsidR="00411112" w:rsidRPr="00751FA0" w:rsidRDefault="00411112" w:rsidP="008072CC">
      <w:pPr>
        <w:jc w:val="center"/>
        <w:rPr>
          <w:rFonts w:ascii="Book Antiqua" w:hAnsi="Book Antiqua"/>
          <w:b/>
        </w:rPr>
        <w:sectPr w:rsidR="00411112" w:rsidRPr="00751FA0" w:rsidSect="005F5773">
          <w:footerReference w:type="even" r:id="rId11"/>
          <w:footerReference w:type="default" r:id="rId12"/>
          <w:footerReference w:type="first" r:id="rId13"/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</w:p>
    <w:p w:rsidR="008072CC" w:rsidRPr="00751FA0" w:rsidRDefault="008072CC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II. évfolyam nappali tagozat</w:t>
      </w:r>
    </w:p>
    <w:p w:rsidR="008072CC" w:rsidRPr="00751FA0" w:rsidRDefault="008072CC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bookmarkStart w:id="7" w:name="_MON_1387095453"/>
    <w:bookmarkStart w:id="8" w:name="_MON_1388230454"/>
    <w:bookmarkStart w:id="9" w:name="_MON_1382962517"/>
    <w:bookmarkStart w:id="10" w:name="_MON_1388239146"/>
    <w:bookmarkStart w:id="11" w:name="_MON_1385280670"/>
    <w:bookmarkStart w:id="12" w:name="_MON_1388556873"/>
    <w:bookmarkStart w:id="13" w:name="_MON_1387101660"/>
    <w:bookmarkStart w:id="14" w:name="_MON_1384691024"/>
    <w:bookmarkStart w:id="15" w:name="_MON_1388571132"/>
    <w:bookmarkStart w:id="16" w:name="_MON_1385281943"/>
    <w:bookmarkStart w:id="17" w:name="_MON_1387806934"/>
    <w:bookmarkStart w:id="18" w:name="_MON_1385284214"/>
    <w:bookmarkStart w:id="19" w:name="_MON_1384841967"/>
    <w:bookmarkStart w:id="20" w:name="_MON_1385285457"/>
    <w:bookmarkStart w:id="21" w:name="_MON_1385285859"/>
    <w:bookmarkStart w:id="22" w:name="_MON_1382961364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387958607"/>
    <w:bookmarkEnd w:id="23"/>
    <w:p w:rsidR="008072CC" w:rsidRDefault="005403DC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4923" w:dyaOrig="8969">
          <v:shape id="_x0000_i1026" type="#_x0000_t75" style="width:747pt;height:447.75pt" o:ole="">
            <v:imagedata r:id="rId14" o:title=""/>
          </v:shape>
          <o:OLEObject Type="Embed" ProgID="Word.Document.12" ShapeID="_x0000_i1026" DrawAspect="Content" ObjectID="_1577015575" r:id="rId15"/>
        </w:object>
      </w:r>
    </w:p>
    <w:p w:rsidR="00E77DA9" w:rsidRDefault="00E77DA9" w:rsidP="008072CC">
      <w:pPr>
        <w:jc w:val="center"/>
        <w:rPr>
          <w:rFonts w:ascii="Book Antiqua" w:hAnsi="Book Antiqua"/>
          <w:b/>
        </w:rPr>
      </w:pP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III. évfolyam nappali tagozat</w: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</w:p>
    <w:bookmarkStart w:id="24" w:name="_MON_1387807000"/>
    <w:bookmarkStart w:id="25" w:name="_MON_1385285513"/>
    <w:bookmarkStart w:id="26" w:name="_MON_1385285563"/>
    <w:bookmarkStart w:id="27" w:name="_MON_1385285580"/>
    <w:bookmarkStart w:id="28" w:name="_MON_1385285827"/>
    <w:bookmarkStart w:id="29" w:name="_MON_1385285852"/>
    <w:bookmarkStart w:id="30" w:name="_MON_1385285897"/>
    <w:bookmarkStart w:id="31" w:name="_MON_1384691337"/>
    <w:bookmarkStart w:id="32" w:name="_MON_1385284739"/>
    <w:bookmarkStart w:id="33" w:name="_MON_138528514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Start w:id="34" w:name="_MON_1384691456"/>
    <w:bookmarkEnd w:id="34"/>
    <w:p w:rsidR="008072CC" w:rsidRPr="00751FA0" w:rsidRDefault="006C76BE" w:rsidP="008072CC">
      <w:pPr>
        <w:jc w:val="center"/>
        <w:rPr>
          <w:rFonts w:ascii="Book Antiqua" w:hAnsi="Book Antiqua"/>
        </w:rPr>
        <w:sectPr w:rsidR="008072CC" w:rsidRPr="00751FA0" w:rsidSect="005F5773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4835" w:dyaOrig="8838">
          <v:shape id="_x0000_i1027" type="#_x0000_t75" style="width:742.5pt;height:442.5pt" o:ole="">
            <v:imagedata r:id="rId16" o:title=""/>
          </v:shape>
          <o:OLEObject Type="Embed" ProgID="Word.Document.12" ShapeID="_x0000_i1027" DrawAspect="Content" ObjectID="_1577015576" r:id="rId17"/>
        </w:objec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IV. évfolyam nappali tagozat</w: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p w:rsidR="008072CC" w:rsidRPr="00751FA0" w:rsidRDefault="008072CC" w:rsidP="008072CC">
      <w:pPr>
        <w:jc w:val="center"/>
        <w:rPr>
          <w:rFonts w:ascii="Book Antiqua" w:hAnsi="Book Antiqua"/>
        </w:rPr>
      </w:pPr>
    </w:p>
    <w:bookmarkStart w:id="35" w:name="_MON_1385285608"/>
    <w:bookmarkEnd w:id="35"/>
    <w:bookmarkStart w:id="36" w:name="_MON_1385287133"/>
    <w:bookmarkEnd w:id="36"/>
    <w:p w:rsidR="008072CC" w:rsidRPr="00751FA0" w:rsidRDefault="00FA066F" w:rsidP="008072CC">
      <w:pPr>
        <w:jc w:val="center"/>
        <w:rPr>
          <w:rFonts w:ascii="Book Antiqua" w:hAnsi="Book Antiqua"/>
        </w:rPr>
        <w:sectPr w:rsidR="008072CC" w:rsidRPr="00751FA0" w:rsidSect="008072CC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5022" w:dyaOrig="8825">
          <v:shape id="_x0000_i1028" type="#_x0000_t75" style="width:741.75pt;height:436.5pt" o:ole="">
            <v:imagedata r:id="rId18" o:title=""/>
          </v:shape>
          <o:OLEObject Type="Embed" ProgID="Word.Document.12" ShapeID="_x0000_i1028" DrawAspect="Content" ObjectID="_1577015577" r:id="rId19"/>
        </w:object>
      </w:r>
    </w:p>
    <w:bookmarkStart w:id="37" w:name="_GoBack"/>
    <w:bookmarkEnd w:id="37"/>
    <w:bookmarkStart w:id="38" w:name="_MON_1387959005"/>
    <w:bookmarkEnd w:id="38"/>
    <w:p w:rsidR="00773092" w:rsidRDefault="00E05287" w:rsidP="00773092">
      <w:pPr>
        <w:pStyle w:val="Default"/>
        <w:jc w:val="center"/>
        <w:rPr>
          <w:rFonts w:ascii="Garamond" w:hAnsi="Garamond"/>
          <w:b/>
        </w:rPr>
        <w:sectPr w:rsidR="00773092" w:rsidSect="00544DC2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ED26C0">
        <w:rPr>
          <w:rFonts w:ascii="Garamond" w:hAnsi="Garamond"/>
          <w:b/>
        </w:rPr>
        <w:object w:dxaOrig="15598" w:dyaOrig="10263">
          <v:shape id="_x0000_i1038" type="#_x0000_t75" style="width:738.75pt;height:457.5pt" o:ole="">
            <v:imagedata r:id="rId20" o:title=""/>
          </v:shape>
          <o:OLEObject Type="Embed" ProgID="Word.Document.12" ShapeID="_x0000_i1038" DrawAspect="Content" ObjectID="_1577015578" r:id="rId21"/>
        </w:object>
      </w:r>
    </w:p>
    <w:p w:rsidR="00773092" w:rsidRPr="008344C9" w:rsidRDefault="00773092" w:rsidP="00DA4A19">
      <w:pPr>
        <w:jc w:val="both"/>
        <w:rPr>
          <w:sz w:val="20"/>
          <w:szCs w:val="20"/>
        </w:rPr>
      </w:pPr>
    </w:p>
    <w:p w:rsidR="00773092" w:rsidRDefault="00773092" w:rsidP="007730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 Antiqua" w:hAnsi="Book Antiqua" w:cs="Times-Bold"/>
          <w:b/>
          <w:bCs/>
        </w:rPr>
      </w:pPr>
      <w:r>
        <w:rPr>
          <w:rFonts w:ascii="Book Antiqua" w:hAnsi="Book Antiqua" w:cs="Times-Bold"/>
          <w:b/>
          <w:bCs/>
        </w:rPr>
        <w:t>SPECIALIZÁCIÓT SZOLGÁLÓ MODULOK</w:t>
      </w:r>
    </w:p>
    <w:p w:rsidR="00773092" w:rsidRDefault="00773092" w:rsidP="00773092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773092" w:rsidRDefault="00773092" w:rsidP="00773092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  <w:r>
        <w:rPr>
          <w:rFonts w:ascii="Book Antiqua" w:hAnsi="Book Antiqua" w:cs="Times-Bold"/>
          <w:b/>
          <w:bCs/>
        </w:rPr>
        <w:t>A 2010 szeptemberében vagy azt követően beiratkozó hallgatókra vonatkozó szabályok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Az Állam- és Jogtudományi Karon az egységes osztatlan jogászképzés nappali tagozatán a 2010 szeptemberétől felmenő</w:t>
      </w:r>
      <w:r>
        <w:rPr>
          <w:rFonts w:ascii="Book Antiqua" w:hAnsi="Book Antiqua" w:cs="TTE16F02D0t00"/>
        </w:rPr>
        <w:t xml:space="preserve"> </w:t>
      </w:r>
      <w:r>
        <w:rPr>
          <w:rFonts w:ascii="Book Antiqua" w:hAnsi="Book Antiqua" w:cs="Times-Roman"/>
        </w:rPr>
        <w:t>rendszerben érvényesülő</w:t>
      </w:r>
      <w:r>
        <w:rPr>
          <w:rFonts w:ascii="Book Antiqua" w:hAnsi="Book Antiqua" w:cs="TTE16F02D0t00"/>
        </w:rPr>
        <w:t xml:space="preserve"> </w:t>
      </w:r>
      <w:r>
        <w:rPr>
          <w:rFonts w:ascii="Book Antiqua" w:hAnsi="Book Antiqua" w:cs="Times-Roman"/>
        </w:rPr>
        <w:t xml:space="preserve">új tanterv szerint a </w:t>
      </w:r>
      <w:r>
        <w:rPr>
          <w:rFonts w:ascii="Book Antiqua" w:hAnsi="Book Antiqua" w:cs="Times-Roman"/>
          <w:b/>
        </w:rPr>
        <w:t>differenciált szakmai ismeretek körébe sorolt kötelez</w:t>
      </w:r>
      <w:r>
        <w:rPr>
          <w:rFonts w:ascii="Book Antiqua" w:hAnsi="Book Antiqua" w:cs="TTE16F02D0t00"/>
          <w:b/>
        </w:rPr>
        <w:t>ő</w:t>
      </w:r>
      <w:r>
        <w:rPr>
          <w:rFonts w:ascii="Book Antiqua" w:hAnsi="Book Antiqua" w:cs="Times-Roman"/>
          <w:b/>
        </w:rPr>
        <w:t>en választható, alternatív kurzusok</w:t>
      </w:r>
      <w:r>
        <w:rPr>
          <w:rFonts w:ascii="Book Antiqua" w:hAnsi="Book Antiqua" w:cs="Times-Roman"/>
        </w:rPr>
        <w:t xml:space="preserve"> négy modulba (b</w:t>
      </w:r>
      <w:r>
        <w:rPr>
          <w:rFonts w:ascii="Book Antiqua" w:hAnsi="Book Antiqua" w:cs="TTE16F02D0t00"/>
        </w:rPr>
        <w:t>ű</w:t>
      </w:r>
      <w:r>
        <w:rPr>
          <w:rFonts w:ascii="Book Antiqua" w:hAnsi="Book Antiqua" w:cs="Times-Roman"/>
        </w:rPr>
        <w:t xml:space="preserve">nügyi tudományok, </w:t>
      </w:r>
      <w:proofErr w:type="spellStart"/>
      <w:r>
        <w:rPr>
          <w:rFonts w:ascii="Book Antiqua" w:hAnsi="Book Antiqua" w:cs="Times-Roman"/>
        </w:rPr>
        <w:t>civilisztikai</w:t>
      </w:r>
      <w:proofErr w:type="spellEnd"/>
      <w:r>
        <w:rPr>
          <w:rFonts w:ascii="Book Antiqua" w:hAnsi="Book Antiqua" w:cs="Times-Roman"/>
        </w:rPr>
        <w:t>, nemzetközi és európai jogi, valamint közjogi modul) tartoznak. A négy modulba tartozik a fakultatív kurzusok meghatározott köre is.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Egy modul teljesítésének el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feltételei: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legalább 6, a modulba tartozó alternatív kurzus felvétele, és ezzel összefüggésben legalább 18 kredit eredményes teljesítése;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 xml:space="preserve">legalább 4, a modulba tartozó fakultatív kurzus felvétele, és ezzel összefüggésben 8 kredit eredményes teljesítése; 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 modulnak megfelel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>témából írt egy évfolyamdolgozat, és szakdolgozat jó vagy jeles min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sítéssel.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Egy adott modul teljesítése a hallgató tanulmányainak befejezésekor, a hallgató kérelmére az abszolutórium megszerzését követ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 xml:space="preserve">en állapítható meg. 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Nem min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sül teljesítettnek a modul, amennyiben a hallgató a modulnak megfelel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>tantárgycsoport (panel) kötelez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 xml:space="preserve">kurzusaiból szerzett érdemjegyeinek átlaga, és emellett külön a modulhoz tartozó alternatív és fakultatív kurzusokból szerzett érdemjegyeinek átlaga a 3,51-ot nem éri el. 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 modul teljesítésére, az erre irányuló kérelem benyújtására és elbírálására a 227. § rendelkezései az irányadók.</w:t>
      </w:r>
    </w:p>
    <w:p w:rsidR="00773092" w:rsidRDefault="00773092" w:rsidP="00773092">
      <w:pPr>
        <w:rPr>
          <w:rFonts w:ascii="Book Antiqua" w:hAnsi="Book Antiqua"/>
        </w:rPr>
      </w:pPr>
    </w:p>
    <w:p w:rsidR="00773092" w:rsidRDefault="00773092" w:rsidP="00773092">
      <w:pPr>
        <w:rPr>
          <w:rFonts w:ascii="Book Antiqua" w:hAnsi="Book Antiqua"/>
        </w:rPr>
      </w:pPr>
      <w:r>
        <w:rPr>
          <w:rFonts w:ascii="Book Antiqua" w:hAnsi="Book Antiqua"/>
        </w:rPr>
        <w:t>Az alábbiakban az egyes modulokba sorolt differenciált szakmai ismeretek körébe tartozó alternatív, majd a fakultatív kurzusok áttekintő táblázatát közöljük.</w:t>
      </w:r>
    </w:p>
    <w:p w:rsidR="00773092" w:rsidRDefault="00773092" w:rsidP="00773092">
      <w:pPr>
        <w:rPr>
          <w:rFonts w:ascii="Book Antiqua" w:hAnsi="Book Antiqua"/>
          <w:b/>
        </w:rPr>
        <w:sectPr w:rsidR="00773092">
          <w:pgSz w:w="11906" w:h="16838"/>
          <w:pgMar w:top="1417" w:right="1417" w:bottom="1417" w:left="1417" w:header="708" w:footer="708" w:gutter="0"/>
          <w:cols w:space="708"/>
        </w:sectPr>
      </w:pPr>
    </w:p>
    <w:p w:rsidR="003C0F9A" w:rsidRDefault="003C0F9A" w:rsidP="00773092">
      <w:pPr>
        <w:jc w:val="center"/>
        <w:rPr>
          <w:rFonts w:ascii="Book Antiqua" w:hAnsi="Book Antiqua"/>
          <w:b/>
        </w:rPr>
      </w:pPr>
    </w:p>
    <w:p w:rsidR="003C0F9A" w:rsidRDefault="003C0F9A" w:rsidP="00773092">
      <w:pPr>
        <w:jc w:val="center"/>
        <w:rPr>
          <w:rFonts w:ascii="Book Antiqua" w:hAnsi="Book Antiqua"/>
          <w:b/>
        </w:rPr>
      </w:pPr>
    </w:p>
    <w:p w:rsidR="00773092" w:rsidRDefault="006C76BE" w:rsidP="00773092">
      <w:pPr>
        <w:jc w:val="center"/>
        <w:rPr>
          <w:rFonts w:ascii="Book Antiqua" w:hAnsi="Book Antiqua"/>
          <w:b/>
        </w:rPr>
      </w:pPr>
      <w:r w:rsidRPr="006C76BE">
        <w:rPr>
          <w:noProof/>
        </w:rPr>
        <w:drawing>
          <wp:inline distT="0" distB="0" distL="0" distR="0" wp14:anchorId="00B326A6" wp14:editId="73DE4D66">
            <wp:extent cx="9777730" cy="4455296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4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92" w:rsidRDefault="00773092" w:rsidP="00773092">
      <w:pPr>
        <w:rPr>
          <w:rFonts w:ascii="Book Antiqua" w:hAnsi="Book Antiqua"/>
          <w:b/>
        </w:rPr>
        <w:sectPr w:rsidR="00773092">
          <w:pgSz w:w="16838" w:h="11906" w:orient="landscape"/>
          <w:pgMar w:top="720" w:right="720" w:bottom="720" w:left="720" w:header="708" w:footer="708" w:gutter="0"/>
          <w:cols w:space="708"/>
        </w:sectPr>
      </w:pP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lastRenderedPageBreak/>
        <w:t>Bűnügyi tudományok modulja</w:t>
      </w:r>
    </w:p>
    <w:p w:rsidR="00773092" w:rsidRDefault="00773092" w:rsidP="00773092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Gellér Balázs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072220">
        <w:rPr>
          <w:rFonts w:ascii="Book Antiqua" w:hAnsi="Book Antiqua"/>
          <w:b/>
          <w:sz w:val="22"/>
          <w:szCs w:val="22"/>
        </w:rPr>
        <w:t>tanszékvezető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Tr="0077309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77309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A terrorizmus a büntetőjogi gondolkodásban</w:t>
            </w:r>
          </w:p>
          <w:p w:rsidR="00773092" w:rsidRPr="009F1132" w:rsidRDefault="0077309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1C0089" w:rsidRDefault="00773092" w:rsidP="00957D05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C0089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9F113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Ausgewählte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Probleme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aus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dem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Strafrecht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AT</w:t>
            </w:r>
          </w:p>
          <w:p w:rsidR="009F1132" w:rsidRPr="009F1132" w:rsidRDefault="009F113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Default="009F1132" w:rsidP="00957D05">
            <w:pPr>
              <w:jc w:val="center"/>
            </w:pPr>
            <w:r w:rsidRPr="00FD2073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9F113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Egység és halmazat a büntetőjogban</w:t>
            </w:r>
          </w:p>
          <w:p w:rsidR="009F1132" w:rsidRPr="009F1132" w:rsidRDefault="009F113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Default="009F1132" w:rsidP="00957D05">
            <w:pPr>
              <w:jc w:val="center"/>
            </w:pPr>
            <w:r w:rsidRPr="00FD2073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77309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A fiatalkorúak büntetés-végrehajtása</w:t>
            </w:r>
          </w:p>
          <w:p w:rsidR="00773092" w:rsidRPr="009F1132" w:rsidRDefault="0077309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92" w:rsidRPr="001C0089" w:rsidRDefault="009F1132" w:rsidP="00957D05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C0089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77309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A hazai börtönügy 20. századi szakmatörténete</w:t>
            </w:r>
          </w:p>
          <w:p w:rsidR="00773092" w:rsidRPr="009F1132" w:rsidRDefault="0077309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1C0089" w:rsidRDefault="00773092" w:rsidP="00957D05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C0089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9F113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Bizonyításelméletek a jog világában</w:t>
            </w:r>
          </w:p>
          <w:p w:rsidR="009F1132" w:rsidRPr="009F1132" w:rsidRDefault="009F113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Default="009F1132" w:rsidP="00957D05">
            <w:pPr>
              <w:jc w:val="center"/>
            </w:pPr>
            <w:r w:rsidRPr="004467D2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9F113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Retorika a büntetőperben</w:t>
            </w:r>
          </w:p>
          <w:p w:rsidR="009F1132" w:rsidRPr="009F1132" w:rsidRDefault="009F113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Default="009F1132" w:rsidP="00957D05">
            <w:pPr>
              <w:jc w:val="center"/>
            </w:pPr>
            <w:r w:rsidRPr="004467D2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773092" w:rsidTr="00957D05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132" w:rsidRPr="009F1132" w:rsidRDefault="009F1132" w:rsidP="00957D0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Trusted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Criminals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Understanding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White-Collar</w:t>
            </w:r>
            <w:proofErr w:type="spellEnd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132">
              <w:rPr>
                <w:rFonts w:ascii="Book Antiqua" w:hAnsi="Book Antiqua"/>
                <w:color w:val="000000"/>
                <w:sz w:val="22"/>
                <w:szCs w:val="22"/>
              </w:rPr>
              <w:t>Crime</w:t>
            </w:r>
            <w:proofErr w:type="spellEnd"/>
          </w:p>
          <w:p w:rsidR="00773092" w:rsidRPr="009F1132" w:rsidRDefault="00773092" w:rsidP="00957D0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92" w:rsidRPr="001C0089" w:rsidRDefault="009F1132" w:rsidP="00957D05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Kriminológia Tanszék</w:t>
            </w:r>
          </w:p>
        </w:tc>
      </w:tr>
    </w:tbl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sz w:val="22"/>
          <w:szCs w:val="22"/>
        </w:rPr>
        <w:br w:type="page"/>
      </w:r>
      <w:r>
        <w:rPr>
          <w:rFonts w:ascii="Book Antiqua" w:hAnsi="Book Antiqua"/>
          <w:b/>
          <w:caps/>
        </w:rPr>
        <w:lastRenderedPageBreak/>
        <w:t>Civilisztikai modul</w:t>
      </w:r>
    </w:p>
    <w:p w:rsidR="00773092" w:rsidRDefault="00773092" w:rsidP="00773092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Menyhárd Attila</w:t>
      </w:r>
      <w:r>
        <w:rPr>
          <w:rFonts w:ascii="Book Antiqua" w:hAnsi="Book Antiqua"/>
          <w:b/>
          <w:sz w:val="22"/>
          <w:szCs w:val="22"/>
        </w:rPr>
        <w:t xml:space="preserve"> tanszékvezető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Tr="0077309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77309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választottbírósági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eljárás és a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mediáció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kapcsolata kereskedelmi jogviták megoldása során</w:t>
            </w:r>
          </w:p>
          <w:p w:rsidR="00773092" w:rsidRPr="009269A2" w:rsidRDefault="0077309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9269A2" w:rsidRDefault="002F5E0A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77309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Grundkurs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Bürgerliches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Recht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II: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Schuldrecht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Allgemeiner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Teil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des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deutschen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BGB</w:t>
            </w:r>
          </w:p>
          <w:p w:rsidR="00773092" w:rsidRPr="009269A2" w:rsidRDefault="0077309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9269A2" w:rsidRDefault="002F5E0A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Idegen Nyelvi Oktatásszervezési Központ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Bürgerliches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Recht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II: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Fallbesprechung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zum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Schuldrecht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Allgemeiner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Teil</w:t>
            </w:r>
            <w:proofErr w:type="spellEnd"/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Idegen Nyelvi Oktatásszervezési Központ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Einführung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ins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deutsche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Privatrecht</w:t>
            </w:r>
            <w:proofErr w:type="spellEnd"/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Idegen Nyelvi Oktatásszervezési Központ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Szerzői jogi inkubátor program</w:t>
            </w:r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7309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Iparjogvédelem a gyakorlatban</w:t>
            </w:r>
          </w:p>
          <w:p w:rsidR="00773092" w:rsidRPr="009269A2" w:rsidRDefault="0077309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9269A2" w:rsidRDefault="002F5E0A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The Basic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Questions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Private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Law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in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Comparative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Perspective</w:t>
            </w:r>
            <w:proofErr w:type="spellEnd"/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Kötelmi jogi jogesetmegoldó szeminárium</w:t>
            </w:r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Adatvédelem a gyakorlatban</w:t>
            </w:r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2F5E0A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Földjogi jogesetek megoldása</w:t>
            </w:r>
          </w:p>
          <w:p w:rsidR="002F5E0A" w:rsidRPr="009269A2" w:rsidRDefault="002F5E0A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E0A" w:rsidRPr="009269A2" w:rsidRDefault="009269A2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Agrárjogi Tanszék</w:t>
            </w:r>
          </w:p>
        </w:tc>
      </w:tr>
      <w:tr w:rsidR="002F5E0A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Médiajogi perbeszédmondó verseny felkészítő szeminárium</w:t>
            </w:r>
          </w:p>
          <w:p w:rsidR="002F5E0A" w:rsidRPr="009269A2" w:rsidRDefault="002F5E0A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E0A" w:rsidRPr="009269A2" w:rsidRDefault="009269A2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Magyar Állam- és Jogtörténeti Tanszék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International and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Comparative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Civil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Procedure</w:t>
            </w:r>
            <w:proofErr w:type="spellEnd"/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Eljárásjogi Tanszék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Göttingen-Budapest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Seminar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zum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Internationalen und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Europäischen</w:t>
            </w:r>
            <w:proofErr w:type="spellEnd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Zivilprozessrecht</w:t>
            </w:r>
            <w:proofErr w:type="spellEnd"/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Polgári Eljárásjogi Tanszék</w:t>
            </w:r>
          </w:p>
        </w:tc>
      </w:tr>
      <w:tr w:rsidR="009269A2" w:rsidTr="009269A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269A2">
              <w:rPr>
                <w:rFonts w:ascii="Book Antiqua" w:hAnsi="Book Antiqua"/>
                <w:color w:val="000000"/>
                <w:sz w:val="22"/>
                <w:szCs w:val="22"/>
              </w:rPr>
              <w:t>A gazdasági társaságok működésének számviteli jogi alapjai</w:t>
            </w:r>
          </w:p>
          <w:p w:rsidR="009269A2" w:rsidRPr="009269A2" w:rsidRDefault="009269A2" w:rsidP="009269A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A2" w:rsidRPr="009269A2" w:rsidRDefault="009269A2" w:rsidP="009269A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269A2">
              <w:rPr>
                <w:rFonts w:ascii="Book Antiqua" w:hAnsi="Book Antiqua"/>
                <w:sz w:val="22"/>
                <w:szCs w:val="22"/>
              </w:rPr>
              <w:t>Pénzügyi Jogi Tanszék</w:t>
            </w:r>
          </w:p>
        </w:tc>
      </w:tr>
    </w:tbl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  <w:sz w:val="22"/>
          <w:szCs w:val="22"/>
        </w:rPr>
        <w:t xml:space="preserve"> </w:t>
      </w:r>
      <w:r>
        <w:rPr>
          <w:rFonts w:ascii="Book Antiqua" w:hAnsi="Book Antiqua"/>
          <w:b/>
          <w:caps/>
          <w:sz w:val="22"/>
          <w:szCs w:val="22"/>
        </w:rPr>
        <w:br w:type="page"/>
      </w:r>
      <w:r>
        <w:rPr>
          <w:rFonts w:ascii="Book Antiqua" w:hAnsi="Book Antiqua"/>
          <w:b/>
          <w:caps/>
        </w:rPr>
        <w:lastRenderedPageBreak/>
        <w:t>Közjogi modul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Kukorelli István</w:t>
      </w:r>
      <w:r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773092" w:rsidTr="00773092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Constitutionalism</w:t>
            </w:r>
            <w:proofErr w:type="spellEnd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in</w:t>
            </w:r>
            <w:proofErr w:type="spellEnd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 xml:space="preserve"> Action</w:t>
            </w:r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A5" w:rsidRPr="004C38A5" w:rsidRDefault="004C38A5" w:rsidP="004C38A5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Közjogi Tűnődések</w:t>
            </w:r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Pr="004C38A5" w:rsidRDefault="004C38A5" w:rsidP="004C38A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Comparative</w:t>
            </w:r>
            <w:proofErr w:type="spellEnd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Constitutional</w:t>
            </w:r>
            <w:proofErr w:type="spellEnd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 xml:space="preserve"> Law</w:t>
            </w:r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Pr="004C38A5" w:rsidRDefault="004C38A5" w:rsidP="004C38A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 xml:space="preserve">Global and European </w:t>
            </w:r>
            <w:proofErr w:type="spellStart"/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Constitutionalism</w:t>
            </w:r>
            <w:proofErr w:type="spellEnd"/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Pr="004C38A5" w:rsidRDefault="004C38A5" w:rsidP="004C38A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Alkotmányértelmezés és alkotmányjogi érvelés</w:t>
            </w:r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Pr="004C38A5" w:rsidRDefault="004C38A5" w:rsidP="004C38A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Üzlet és emberi jogok</w:t>
            </w:r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A5" w:rsidRPr="004C38A5" w:rsidRDefault="004C38A5" w:rsidP="004C38A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4C38A5" w:rsidTr="004C38A5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C38A5">
              <w:rPr>
                <w:rFonts w:ascii="Book Antiqua" w:hAnsi="Book Antiqua"/>
                <w:color w:val="000000"/>
                <w:sz w:val="22"/>
                <w:szCs w:val="22"/>
              </w:rPr>
              <w:t>Államszervezeti jogesetek</w:t>
            </w:r>
          </w:p>
          <w:p w:rsidR="004C38A5" w:rsidRPr="004C38A5" w:rsidRDefault="004C38A5" w:rsidP="004C38A5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A5" w:rsidRPr="004C38A5" w:rsidRDefault="004C38A5" w:rsidP="004C38A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38A5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</w:tbl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</w:p>
    <w:p w:rsidR="00773092" w:rsidRDefault="00773092" w:rsidP="00773092">
      <w:pPr>
        <w:rPr>
          <w:rFonts w:ascii="Book Antiqua" w:hAnsi="Book Antiqua"/>
          <w:b/>
          <w:caps/>
        </w:rPr>
        <w:sectPr w:rsidR="00773092">
          <w:pgSz w:w="11906" w:h="16838"/>
          <w:pgMar w:top="1417" w:right="1417" w:bottom="1417" w:left="1417" w:header="708" w:footer="708" w:gutter="0"/>
          <w:cols w:space="708"/>
        </w:sectPr>
      </w:pP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lastRenderedPageBreak/>
        <w:t>Nemzetközi jogi és európai jogi modul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Kardos Gábor</w:t>
      </w:r>
      <w:r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773092" w:rsidTr="00773092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773092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Az Európai Unió Közös Agrárpolitikája</w:t>
            </w:r>
          </w:p>
          <w:p w:rsidR="00773092" w:rsidRPr="00DF2700" w:rsidRDefault="00773092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F2700" w:rsidRDefault="00A4728A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Agrárjogi Tanszék</w:t>
            </w:r>
          </w:p>
        </w:tc>
      </w:tr>
      <w:tr w:rsidR="00773092" w:rsidTr="00DF2700">
        <w:trPr>
          <w:trHeight w:val="747"/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European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Criminal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Law</w:t>
            </w:r>
          </w:p>
          <w:p w:rsidR="00773092" w:rsidRPr="00DF2700" w:rsidRDefault="00773092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F2700" w:rsidRDefault="00773092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773092" w:rsidTr="001750F8">
        <w:trPr>
          <w:trHeight w:val="759"/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1750F8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Milestone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Cases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of International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Criminal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Justice</w:t>
            </w:r>
            <w:proofErr w:type="spellEnd"/>
          </w:p>
          <w:p w:rsidR="00773092" w:rsidRPr="00DF2700" w:rsidRDefault="00773092" w:rsidP="001750F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F2700" w:rsidRDefault="00DF2700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773092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Az EU joga olasz nyelven 2</w:t>
            </w:r>
          </w:p>
          <w:p w:rsidR="00773092" w:rsidRPr="00DF2700" w:rsidRDefault="00773092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F2700" w:rsidRDefault="00A4728A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Idegen Nyelvi Oktatásszervezési Központ</w:t>
            </w:r>
          </w:p>
        </w:tc>
      </w:tr>
      <w:tr w:rsidR="00DF2700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Fundamental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Rights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Protection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in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the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European Union</w:t>
            </w:r>
          </w:p>
          <w:p w:rsidR="001750F8" w:rsidRPr="00DF2700" w:rsidRDefault="001750F8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700" w:rsidRPr="00DF2700" w:rsidRDefault="00DF2700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DF2700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International Air Law</w:t>
            </w:r>
          </w:p>
          <w:p w:rsidR="001750F8" w:rsidRPr="00DF2700" w:rsidRDefault="001750F8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DF2700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Telders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nemzetközi perbeszédverseny</w:t>
            </w:r>
          </w:p>
          <w:p w:rsidR="001750F8" w:rsidRPr="00DF2700" w:rsidRDefault="001750F8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DF2700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International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Commercial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Arbitration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700" w:rsidRPr="00DF2700" w:rsidRDefault="00DF2700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DF2700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Litigation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at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the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European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Court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Justice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Preliminary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references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in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Private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International Law</w:t>
            </w:r>
          </w:p>
          <w:p w:rsidR="001750F8" w:rsidRPr="00DF2700" w:rsidRDefault="001750F8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DF2700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dijoni</w:t>
            </w:r>
            <w:proofErr w:type="spellEnd"/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 xml:space="preserve"> likőrtől a pireuszi kikötőig - Válogatott esetek az Európai Bíróság gyakorlatából</w:t>
            </w:r>
          </w:p>
          <w:p w:rsidR="001750F8" w:rsidRPr="00DF2700" w:rsidRDefault="001750F8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773092" w:rsidTr="00DF2700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00" w:rsidRPr="00DF2700" w:rsidRDefault="00DF2700" w:rsidP="00DF2700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F2700">
              <w:rPr>
                <w:rFonts w:ascii="Book Antiqua" w:hAnsi="Book Antiqua"/>
                <w:color w:val="000000"/>
                <w:sz w:val="22"/>
                <w:szCs w:val="22"/>
              </w:rPr>
              <w:t>Strasbourgi jogesetmegoldó</w:t>
            </w:r>
          </w:p>
          <w:p w:rsidR="00773092" w:rsidRPr="00DF2700" w:rsidRDefault="00773092" w:rsidP="00DF270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Pr="00DF2700" w:rsidRDefault="00DF2700" w:rsidP="00DF2700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F2700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</w:tbl>
    <w:p w:rsidR="00773092" w:rsidRDefault="00773092" w:rsidP="00773092">
      <w:pPr>
        <w:rPr>
          <w:rFonts w:ascii="Book Antiqua" w:hAnsi="Book Antiqua"/>
          <w:sz w:val="22"/>
          <w:szCs w:val="22"/>
        </w:rPr>
      </w:pPr>
    </w:p>
    <w:p w:rsidR="00773092" w:rsidRPr="00773092" w:rsidRDefault="00773092" w:rsidP="00773092">
      <w:pPr>
        <w:pStyle w:val="Default"/>
        <w:jc w:val="center"/>
        <w:rPr>
          <w:rFonts w:ascii="Garamond" w:hAnsi="Garamond"/>
          <w:b/>
        </w:rPr>
      </w:pPr>
    </w:p>
    <w:sectPr w:rsidR="00773092" w:rsidRPr="00773092" w:rsidSect="001B3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F0" w:rsidRDefault="00875AF0">
      <w:r>
        <w:separator/>
      </w:r>
    </w:p>
  </w:endnote>
  <w:endnote w:type="continuationSeparator" w:id="0">
    <w:p w:rsidR="00875AF0" w:rsidRDefault="0087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02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73" w:rsidRDefault="005F577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5773" w:rsidRDefault="005F57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73" w:rsidRDefault="005F5773" w:rsidP="00E77DA9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034371"/>
      <w:docPartObj>
        <w:docPartGallery w:val="Page Numbers (Bottom of Page)"/>
        <w:docPartUnique/>
      </w:docPartObj>
    </w:sdtPr>
    <w:sdtEndPr/>
    <w:sdtContent>
      <w:p w:rsidR="005F5773" w:rsidRDefault="0084156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7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F5773" w:rsidRDefault="005F57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F0" w:rsidRDefault="00875AF0">
      <w:r>
        <w:separator/>
      </w:r>
    </w:p>
  </w:footnote>
  <w:footnote w:type="continuationSeparator" w:id="0">
    <w:p w:rsidR="00875AF0" w:rsidRDefault="0087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CC"/>
    <w:rsid w:val="000470B7"/>
    <w:rsid w:val="00053545"/>
    <w:rsid w:val="00064B9D"/>
    <w:rsid w:val="00072220"/>
    <w:rsid w:val="000828E9"/>
    <w:rsid w:val="000930CF"/>
    <w:rsid w:val="000A077E"/>
    <w:rsid w:val="000D1F4C"/>
    <w:rsid w:val="000D45E5"/>
    <w:rsid w:val="000F755B"/>
    <w:rsid w:val="0010754C"/>
    <w:rsid w:val="001428D2"/>
    <w:rsid w:val="001750F8"/>
    <w:rsid w:val="001B38A7"/>
    <w:rsid w:val="001B63F8"/>
    <w:rsid w:val="001C0089"/>
    <w:rsid w:val="001C4C3D"/>
    <w:rsid w:val="001F5538"/>
    <w:rsid w:val="0024098D"/>
    <w:rsid w:val="002F5E0A"/>
    <w:rsid w:val="00300CEA"/>
    <w:rsid w:val="00323B71"/>
    <w:rsid w:val="003C0F9A"/>
    <w:rsid w:val="003E56C5"/>
    <w:rsid w:val="00411112"/>
    <w:rsid w:val="00413972"/>
    <w:rsid w:val="004A481F"/>
    <w:rsid w:val="004C38A5"/>
    <w:rsid w:val="005403DC"/>
    <w:rsid w:val="00544DC2"/>
    <w:rsid w:val="005A0907"/>
    <w:rsid w:val="005B69FA"/>
    <w:rsid w:val="005F5773"/>
    <w:rsid w:val="006154DE"/>
    <w:rsid w:val="006506AA"/>
    <w:rsid w:val="0066169F"/>
    <w:rsid w:val="006925DF"/>
    <w:rsid w:val="00693719"/>
    <w:rsid w:val="00697D47"/>
    <w:rsid w:val="006B248A"/>
    <w:rsid w:val="006C76BE"/>
    <w:rsid w:val="006E7BB6"/>
    <w:rsid w:val="00707DE6"/>
    <w:rsid w:val="00750AFC"/>
    <w:rsid w:val="00773092"/>
    <w:rsid w:val="007740E6"/>
    <w:rsid w:val="00795D01"/>
    <w:rsid w:val="007963FD"/>
    <w:rsid w:val="007E041F"/>
    <w:rsid w:val="008072CC"/>
    <w:rsid w:val="00841563"/>
    <w:rsid w:val="00875AF0"/>
    <w:rsid w:val="00875F69"/>
    <w:rsid w:val="009269A2"/>
    <w:rsid w:val="00941EA7"/>
    <w:rsid w:val="0095581A"/>
    <w:rsid w:val="00957D05"/>
    <w:rsid w:val="009A3F66"/>
    <w:rsid w:val="009F1132"/>
    <w:rsid w:val="00A4728A"/>
    <w:rsid w:val="00A64B62"/>
    <w:rsid w:val="00A674E5"/>
    <w:rsid w:val="00A67937"/>
    <w:rsid w:val="00A745A9"/>
    <w:rsid w:val="00AE2BA0"/>
    <w:rsid w:val="00AF00C2"/>
    <w:rsid w:val="00AF02AA"/>
    <w:rsid w:val="00AF25C2"/>
    <w:rsid w:val="00B22125"/>
    <w:rsid w:val="00B344A1"/>
    <w:rsid w:val="00B823B4"/>
    <w:rsid w:val="00B82D77"/>
    <w:rsid w:val="00B941F8"/>
    <w:rsid w:val="00BB0FD9"/>
    <w:rsid w:val="00BB29C8"/>
    <w:rsid w:val="00BF7EDC"/>
    <w:rsid w:val="00C041D5"/>
    <w:rsid w:val="00C26829"/>
    <w:rsid w:val="00C516ED"/>
    <w:rsid w:val="00C756E4"/>
    <w:rsid w:val="00C81B67"/>
    <w:rsid w:val="00CE5ED7"/>
    <w:rsid w:val="00D0369C"/>
    <w:rsid w:val="00D04C44"/>
    <w:rsid w:val="00D124A1"/>
    <w:rsid w:val="00D16AA0"/>
    <w:rsid w:val="00D16B72"/>
    <w:rsid w:val="00D545DB"/>
    <w:rsid w:val="00D56275"/>
    <w:rsid w:val="00D77A3D"/>
    <w:rsid w:val="00D92202"/>
    <w:rsid w:val="00D955C8"/>
    <w:rsid w:val="00D9599D"/>
    <w:rsid w:val="00DA4A19"/>
    <w:rsid w:val="00DD5D30"/>
    <w:rsid w:val="00DF2700"/>
    <w:rsid w:val="00E041CD"/>
    <w:rsid w:val="00E05287"/>
    <w:rsid w:val="00E65E28"/>
    <w:rsid w:val="00E77DA9"/>
    <w:rsid w:val="00ED0FB6"/>
    <w:rsid w:val="00ED26C0"/>
    <w:rsid w:val="00EE1058"/>
    <w:rsid w:val="00F0439C"/>
    <w:rsid w:val="00F07470"/>
    <w:rsid w:val="00FA066F"/>
    <w:rsid w:val="00FC04B3"/>
    <w:rsid w:val="00FC6157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72CC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072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72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072CC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941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1E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1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11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ED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72CC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072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72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072CC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941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1E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1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11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ED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5.docx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19" Type="http://schemas.openxmlformats.org/officeDocument/2006/relationships/package" Target="embeddings/Microsoft_Word_Document4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emf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3043-E025-4AE4-BA73-4DC86722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701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Bihari Zsuzsanna</dc:creator>
  <cp:lastModifiedBy>dr. Bihari Zsuzsanna</cp:lastModifiedBy>
  <cp:revision>66</cp:revision>
  <dcterms:created xsi:type="dcterms:W3CDTF">2016-01-21T10:20:00Z</dcterms:created>
  <dcterms:modified xsi:type="dcterms:W3CDTF">2018-01-09T14:06:00Z</dcterms:modified>
</cp:coreProperties>
</file>