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C3" w:rsidRPr="00C15DC2" w:rsidRDefault="00CD32C3" w:rsidP="00CD32C3">
      <w:pPr>
        <w:spacing w:after="0" w:line="240" w:lineRule="auto"/>
        <w:ind w:right="-171"/>
        <w:jc w:val="center"/>
        <w:rPr>
          <w:rFonts w:ascii="Goldenbook" w:hAnsi="Goldenbook" w:cs="Open Sans"/>
          <w:b/>
        </w:rPr>
      </w:pPr>
      <w:r w:rsidRPr="00C15DC2">
        <w:rPr>
          <w:rFonts w:ascii="Goldenbook" w:hAnsi="Goldenbook" w:cs="Open Sans"/>
          <w:b/>
        </w:rPr>
        <w:t>I. évfolyam nappali tagozat</w:t>
      </w:r>
    </w:p>
    <w:p w:rsidR="00CD32C3" w:rsidRPr="00A03191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  <w:sectPr w:rsidR="00CD32C3" w:rsidRPr="00A03191" w:rsidSect="00D96714">
          <w:footerReference w:type="default" r:id="rId7"/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C15DC2">
        <w:rPr>
          <w:rFonts w:ascii="Goldenbook" w:hAnsi="Goldenbook" w:cs="Open Sans"/>
          <w:b/>
        </w:rPr>
        <w:t>Kötelező előadások</w:t>
      </w:r>
      <w:bookmarkStart w:id="0" w:name="_MON_1393850703"/>
      <w:bookmarkStart w:id="1" w:name="_MON_1393234300"/>
      <w:bookmarkEnd w:id="0"/>
      <w:bookmarkEnd w:id="1"/>
      <w:bookmarkStart w:id="2" w:name="_MON_1382440510"/>
      <w:bookmarkEnd w:id="2"/>
      <w:r w:rsidR="00B24769" w:rsidRPr="00C15DC2">
        <w:rPr>
          <w:rFonts w:ascii="Open Sans" w:hAnsi="Open Sans" w:cs="Open Sans"/>
          <w:b/>
        </w:rPr>
        <w:object w:dxaOrig="18099" w:dyaOrig="10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19.25pt;height:368.25pt" o:ole="">
            <v:imagedata r:id="rId8" o:title=""/>
          </v:shape>
          <o:OLEObject Type="Embed" ProgID="Excel.Sheet.12" ShapeID="_x0000_i1032" DrawAspect="Content" ObjectID="_1718093590" r:id="rId9"/>
        </w:object>
      </w:r>
      <w:bookmarkStart w:id="3" w:name="_GoBack"/>
      <w:bookmarkEnd w:id="3"/>
    </w:p>
    <w:p w:rsidR="00CD32C3" w:rsidRPr="008F1C1C" w:rsidRDefault="00CD32C3" w:rsidP="00CD32C3">
      <w:pPr>
        <w:spacing w:after="0" w:line="240" w:lineRule="auto"/>
        <w:ind w:right="-171"/>
        <w:jc w:val="center"/>
        <w:rPr>
          <w:rFonts w:ascii="Goldenbook" w:hAnsi="Goldenbook"/>
          <w:b/>
        </w:rPr>
      </w:pPr>
      <w:bookmarkStart w:id="4" w:name="_MON_1397899591"/>
      <w:bookmarkStart w:id="5" w:name="_MON_1397899617"/>
      <w:bookmarkStart w:id="6" w:name="_MON_1397899715"/>
      <w:bookmarkStart w:id="7" w:name="_MON_1397899736"/>
      <w:bookmarkStart w:id="8" w:name="_MON_1393850730"/>
      <w:bookmarkStart w:id="9" w:name="_MON_1393233746"/>
      <w:bookmarkStart w:id="10" w:name="_MON_1397985633"/>
      <w:bookmarkStart w:id="11" w:name="_MON_1397985747"/>
      <w:bookmarkStart w:id="12" w:name="_MON_1393234206"/>
      <w:bookmarkStart w:id="13" w:name="_MON_1393233100"/>
      <w:bookmarkStart w:id="14" w:name="_MON_1397899097"/>
      <w:bookmarkStart w:id="15" w:name="_MON_1397899387"/>
      <w:bookmarkStart w:id="16" w:name="_MON_1397899426"/>
      <w:bookmarkStart w:id="17" w:name="_MON_1397899476"/>
      <w:bookmarkStart w:id="18" w:name="_MON_139789949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8F1C1C">
        <w:rPr>
          <w:rFonts w:ascii="Goldenbook" w:hAnsi="Goldenbook"/>
          <w:b/>
        </w:rPr>
        <w:lastRenderedPageBreak/>
        <w:t>II. évfolyam nappali tagozat</w:t>
      </w:r>
    </w:p>
    <w:p w:rsidR="00CD32C3" w:rsidRPr="0095207E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  <w:sectPr w:rsidR="00CD32C3" w:rsidRPr="0095207E" w:rsidSect="00DA1D5A">
          <w:footerReference w:type="default" r:id="rId10"/>
          <w:pgSz w:w="16840" w:h="11907" w:orient="landscape" w:code="9"/>
          <w:pgMar w:top="454" w:right="680" w:bottom="454" w:left="680" w:header="794" w:footer="1077" w:gutter="0"/>
          <w:cols w:space="708"/>
          <w:vAlign w:val="center"/>
          <w:titlePg/>
          <w:docGrid w:linePitch="360"/>
        </w:sectPr>
      </w:pPr>
      <w:r w:rsidRPr="008F1C1C">
        <w:rPr>
          <w:rFonts w:ascii="Goldenbook" w:hAnsi="Goldenbook"/>
          <w:b/>
        </w:rPr>
        <w:t>Kötelező előadások</w:t>
      </w:r>
      <w:bookmarkStart w:id="19" w:name="_MON_1393235345"/>
      <w:bookmarkStart w:id="20" w:name="_MON_1394344001"/>
      <w:bookmarkStart w:id="21" w:name="_MON_1393235374"/>
      <w:bookmarkStart w:id="22" w:name="_MON_1393236793"/>
      <w:bookmarkStart w:id="23" w:name="_MON_1393236886"/>
      <w:bookmarkEnd w:id="19"/>
      <w:bookmarkEnd w:id="20"/>
      <w:bookmarkEnd w:id="21"/>
      <w:bookmarkEnd w:id="22"/>
      <w:bookmarkEnd w:id="23"/>
      <w:bookmarkStart w:id="24" w:name="_MON_1393234811"/>
      <w:bookmarkEnd w:id="24"/>
      <w:r w:rsidR="008F1C1C" w:rsidRPr="000E310F">
        <w:rPr>
          <w:rFonts w:ascii="Book Antiqua" w:hAnsi="Book Antiqua"/>
          <w:b/>
        </w:rPr>
        <w:object w:dxaOrig="18099" w:dyaOrig="10716">
          <v:shape id="_x0000_i1026" type="#_x0000_t75" style="width:734.25pt;height:390pt" o:ole="">
            <v:imagedata r:id="rId11" o:title=""/>
          </v:shape>
          <o:OLEObject Type="Embed" ProgID="Excel.Sheet.12" ShapeID="_x0000_i1026" DrawAspect="Content" ObjectID="_1718093591" r:id="rId12"/>
        </w:object>
      </w:r>
    </w:p>
    <w:p w:rsidR="00CD32C3" w:rsidRPr="008F1C1C" w:rsidRDefault="00CD32C3" w:rsidP="00CD32C3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lastRenderedPageBreak/>
        <w:t>III. évfolyam nappali tagozat</w:t>
      </w:r>
    </w:p>
    <w:p w:rsidR="00CD32C3" w:rsidRPr="008F1C1C" w:rsidRDefault="00CD32C3" w:rsidP="00CD32C3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t>Kötelező előadások</w:t>
      </w:r>
    </w:p>
    <w:bookmarkStart w:id="25" w:name="_MON_1396264691"/>
    <w:bookmarkStart w:id="26" w:name="_MON_1393238379"/>
    <w:bookmarkStart w:id="27" w:name="_MON_1396690062"/>
    <w:bookmarkStart w:id="28" w:name="_MON_1393238493"/>
    <w:bookmarkStart w:id="29" w:name="_MON_1396778561"/>
    <w:bookmarkStart w:id="30" w:name="_MON_1393237038"/>
    <w:bookmarkStart w:id="31" w:name="_MON_1393850772"/>
    <w:bookmarkStart w:id="32" w:name="_MON_1393237412"/>
    <w:bookmarkStart w:id="33" w:name="_MON_1393237569"/>
    <w:bookmarkStart w:id="34" w:name="_MON_1393237608"/>
    <w:bookmarkStart w:id="35" w:name="_MON_1396176327"/>
    <w:bookmarkStart w:id="36" w:name="_MON_1393237998"/>
    <w:bookmarkStart w:id="37" w:name="_MON_1396259889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Start w:id="38" w:name="_MON_1396263283"/>
    <w:bookmarkEnd w:id="38"/>
    <w:p w:rsidR="00CD32C3" w:rsidRPr="0095207E" w:rsidRDefault="00F84DB0" w:rsidP="00CD32C3">
      <w:pPr>
        <w:spacing w:after="0" w:line="240" w:lineRule="auto"/>
        <w:ind w:firstLine="0"/>
        <w:jc w:val="center"/>
        <w:rPr>
          <w:rFonts w:ascii="Book Antiqua" w:hAnsi="Book Antiqua"/>
        </w:rPr>
        <w:sectPr w:rsidR="00CD32C3" w:rsidRPr="0095207E" w:rsidSect="00D96714">
          <w:pgSz w:w="16840" w:h="11907" w:orient="landscape" w:code="9"/>
          <w:pgMar w:top="1134" w:right="680" w:bottom="1134" w:left="1134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</w:rPr>
        <w:object w:dxaOrig="17847" w:dyaOrig="9509">
          <v:shape id="_x0000_i1027" type="#_x0000_t75" style="width:726pt;height:403.5pt" o:ole="">
            <v:imagedata r:id="rId13" o:title=""/>
          </v:shape>
          <o:OLEObject Type="Embed" ProgID="Excel.Sheet.12" ShapeID="_x0000_i1027" DrawAspect="Content" ObjectID="_1718093592" r:id="rId14"/>
        </w:object>
      </w:r>
    </w:p>
    <w:p w:rsidR="00DE056A" w:rsidRPr="008F1C1C" w:rsidRDefault="00DE056A" w:rsidP="00DE056A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lastRenderedPageBreak/>
        <w:t>IV. évfolyam nappali tagozat</w:t>
      </w:r>
    </w:p>
    <w:p w:rsidR="00DE056A" w:rsidRPr="008F1C1C" w:rsidRDefault="00DE056A" w:rsidP="00DE056A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t>Kötelező előadások</w:t>
      </w:r>
    </w:p>
    <w:bookmarkStart w:id="39" w:name="_MON_1399887898"/>
    <w:bookmarkEnd w:id="39"/>
    <w:p w:rsidR="00DE056A" w:rsidRPr="0095207E" w:rsidRDefault="00A566BF" w:rsidP="00AB0423">
      <w:pPr>
        <w:spacing w:after="0" w:line="240" w:lineRule="auto"/>
        <w:ind w:firstLine="0"/>
        <w:jc w:val="center"/>
        <w:rPr>
          <w:rFonts w:ascii="Book Antiqua" w:hAnsi="Book Antiqua"/>
        </w:rPr>
        <w:sectPr w:rsidR="00DE056A" w:rsidRPr="0095207E" w:rsidSect="00DE056A"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</w:rPr>
        <w:object w:dxaOrig="17752" w:dyaOrig="8826">
          <v:shape id="_x0000_i1028" type="#_x0000_t75" style="width:729.75pt;height:370.5pt" o:ole="">
            <v:imagedata r:id="rId15" o:title=""/>
          </v:shape>
          <o:OLEObject Type="Embed" ProgID="Excel.Sheet.12" ShapeID="_x0000_i1028" DrawAspect="Content" ObjectID="_1718093593" r:id="rId16"/>
        </w:object>
      </w:r>
    </w:p>
    <w:p w:rsidR="00FE16DB" w:rsidRPr="008F1C1C" w:rsidRDefault="00FE16DB" w:rsidP="00FE16DB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t>V. évfolyam nappali tagozat</w:t>
      </w:r>
    </w:p>
    <w:p w:rsidR="00FE16DB" w:rsidRDefault="00FE16DB" w:rsidP="00EA63F6">
      <w:pPr>
        <w:spacing w:after="0" w:line="240" w:lineRule="auto"/>
        <w:jc w:val="center"/>
        <w:rPr>
          <w:rFonts w:ascii="Book Antiqua" w:hAnsi="Book Antiqua"/>
          <w:b/>
        </w:rPr>
        <w:sectPr w:rsidR="00FE16DB" w:rsidSect="00D96714"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8F1C1C">
        <w:rPr>
          <w:rFonts w:ascii="Goldenbook" w:hAnsi="Goldenbook"/>
          <w:b/>
        </w:rPr>
        <w:t>Kötelező előadások</w:t>
      </w:r>
      <w:bookmarkStart w:id="40" w:name="_MON_1399888533"/>
      <w:bookmarkEnd w:id="40"/>
      <w:r w:rsidR="00406124" w:rsidRPr="0095207E">
        <w:rPr>
          <w:rFonts w:ascii="Book Antiqua" w:hAnsi="Book Antiqua"/>
        </w:rPr>
        <w:object w:dxaOrig="17847" w:dyaOrig="9583">
          <v:shape id="_x0000_i1029" type="#_x0000_t75" style="width:732.75pt;height:399.75pt" o:ole="">
            <v:imagedata r:id="rId17" o:title=""/>
          </v:shape>
          <o:OLEObject Type="Embed" ProgID="Excel.Sheet.12" ShapeID="_x0000_i1029" DrawAspect="Content" ObjectID="_1718093594" r:id="rId18"/>
        </w:object>
      </w:r>
    </w:p>
    <w:p w:rsidR="002B1DFF" w:rsidRPr="00406124" w:rsidRDefault="002B1DFF" w:rsidP="002B1D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Goldenbook" w:hAnsi="Goldenbook" w:cs="Times-Bold"/>
          <w:b/>
          <w:bCs/>
          <w:sz w:val="28"/>
        </w:rPr>
      </w:pPr>
      <w:r w:rsidRPr="00406124">
        <w:rPr>
          <w:rFonts w:ascii="Goldenbook" w:hAnsi="Goldenbook" w:cs="Times-Bold"/>
          <w:b/>
          <w:bCs/>
          <w:sz w:val="28"/>
        </w:rPr>
        <w:t>SPECIALIZÁCIÓT SZOLGÁLÓ MODULOK</w:t>
      </w:r>
    </w:p>
    <w:p w:rsidR="002B1DFF" w:rsidRPr="00374E15" w:rsidRDefault="002B1DFF" w:rsidP="002B1DFF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</w:p>
    <w:p w:rsidR="002B1DFF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 xml:space="preserve">Az Állam- és Jogtudományi Karon az egységes osztatlan jogászképzés nappali tagozatán érvényesülő tanterv szerint a </w:t>
      </w:r>
      <w:r w:rsidR="00E350A1">
        <w:rPr>
          <w:rFonts w:ascii="Open Sans" w:hAnsi="Open Sans" w:cs="Open Sans"/>
          <w:b/>
          <w:sz w:val="20"/>
        </w:rPr>
        <w:t>választható</w:t>
      </w:r>
      <w:r w:rsidRPr="00F80071">
        <w:rPr>
          <w:rFonts w:ascii="Open Sans" w:hAnsi="Open Sans" w:cs="Open Sans"/>
          <w:b/>
          <w:sz w:val="20"/>
        </w:rPr>
        <w:t xml:space="preserve"> szakmai ismeretek körébe sorolt</w:t>
      </w:r>
      <w:r w:rsidR="00E350A1">
        <w:rPr>
          <w:rFonts w:ascii="Open Sans" w:hAnsi="Open Sans" w:cs="Open Sans"/>
          <w:b/>
          <w:sz w:val="20"/>
        </w:rPr>
        <w:t>,</w:t>
      </w:r>
      <w:r w:rsidRPr="00F80071">
        <w:rPr>
          <w:rFonts w:ascii="Open Sans" w:hAnsi="Open Sans" w:cs="Open Sans"/>
          <w:b/>
          <w:sz w:val="20"/>
        </w:rPr>
        <w:t xml:space="preserve"> kötelezően választható, alternatív kurzusok</w:t>
      </w:r>
      <w:r w:rsidRPr="00F80071">
        <w:rPr>
          <w:rFonts w:ascii="Open Sans" w:hAnsi="Open Sans" w:cs="Open Sans"/>
          <w:sz w:val="20"/>
        </w:rPr>
        <w:t xml:space="preserve"> </w:t>
      </w:r>
      <w:r w:rsidR="00E350A1">
        <w:rPr>
          <w:rFonts w:ascii="Open Sans" w:hAnsi="Open Sans" w:cs="Open Sans"/>
          <w:sz w:val="20"/>
        </w:rPr>
        <w:t xml:space="preserve">egy része </w:t>
      </w:r>
      <w:r w:rsidRPr="00F80071">
        <w:rPr>
          <w:rFonts w:ascii="Open Sans" w:hAnsi="Open Sans" w:cs="Open Sans"/>
          <w:sz w:val="20"/>
        </w:rPr>
        <w:t>négy modulba (bűnügyi tudományok, civilisztikai, nemzetközi és európai jogi, v</w:t>
      </w:r>
      <w:r w:rsidR="00E350A1">
        <w:rPr>
          <w:rFonts w:ascii="Open Sans" w:hAnsi="Open Sans" w:cs="Open Sans"/>
          <w:sz w:val="20"/>
        </w:rPr>
        <w:t>alamint közjogi modul) tartozik</w:t>
      </w:r>
      <w:r w:rsidRPr="00F80071">
        <w:rPr>
          <w:rFonts w:ascii="Open Sans" w:hAnsi="Open Sans" w:cs="Open Sans"/>
          <w:sz w:val="20"/>
        </w:rPr>
        <w:t>. A négy modulba tartozik a fakultatív kurzusok meghatározott köre is.</w:t>
      </w:r>
    </w:p>
    <w:p w:rsidR="00E350A1" w:rsidRPr="00F80071" w:rsidRDefault="00E350A1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</w:p>
    <w:p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>Egy modul teljesítésének előfeltételei:</w:t>
      </w:r>
    </w:p>
    <w:p w:rsidR="00E350A1" w:rsidRDefault="002B1DFF" w:rsidP="00E350A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sz w:val="20"/>
        </w:rPr>
      </w:pPr>
      <w:r w:rsidRPr="00E350A1">
        <w:rPr>
          <w:rFonts w:ascii="Open Sans" w:hAnsi="Open Sans" w:cs="Open Sans"/>
          <w:sz w:val="20"/>
        </w:rPr>
        <w:t>legalább 6, a modulba tartozó alternatív kurzus felvétele, és ezzel összefüggésben legalább 18 kredit eredményes teljesítése;</w:t>
      </w:r>
    </w:p>
    <w:p w:rsidR="00E350A1" w:rsidRDefault="002B1DFF" w:rsidP="00E350A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sz w:val="20"/>
        </w:rPr>
      </w:pPr>
      <w:r w:rsidRPr="00E350A1">
        <w:rPr>
          <w:rFonts w:ascii="Open Sans" w:hAnsi="Open Sans" w:cs="Open Sans"/>
          <w:sz w:val="20"/>
        </w:rPr>
        <w:t xml:space="preserve">legalább 4, a modulba tartozó fakultatív kurzus felvétele, és ezzel összefüggésben 8 kredit eredményes teljesítése; </w:t>
      </w:r>
    </w:p>
    <w:p w:rsidR="002B1DFF" w:rsidRPr="00E350A1" w:rsidRDefault="002B1DFF" w:rsidP="00E350A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sz w:val="20"/>
        </w:rPr>
      </w:pPr>
      <w:r w:rsidRPr="00E350A1">
        <w:rPr>
          <w:rFonts w:ascii="Open Sans" w:hAnsi="Open Sans" w:cs="Open Sans"/>
          <w:sz w:val="20"/>
        </w:rPr>
        <w:t>a modulnak megfelelő témából írt egy évfolyamdolgozat, és szakdolgozat jó vagy jeles minősítéssel.</w:t>
      </w:r>
    </w:p>
    <w:p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</w:p>
    <w:p w:rsidR="002B1DFF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 xml:space="preserve">Egy adott modul teljesítése a hallgató tanulmányainak befejezésekor, a hallgató kérelmére az abszolutórium megszerzését követően állapítható meg. </w:t>
      </w:r>
    </w:p>
    <w:p w:rsidR="00E350A1" w:rsidRPr="00F80071" w:rsidRDefault="00E350A1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</w:p>
    <w:p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 xml:space="preserve">Nem minősül teljesítettnek a modul, amennyiben a hallgató a modulnak megfelelő tantárgycsoport (panel) kötelező kurzusaiból szerzett érdemjegyeinek átlaga, és emellett külön a modulhoz tartozó alternatív és fakultatív kurzusokból szerzett érdemjegyeinek átlaga a 3,51-ot nem éri el. </w:t>
      </w:r>
    </w:p>
    <w:p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</w:p>
    <w:p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>A modul teljesítésére, az erre irányuló kérelem benyújtására és elbírálására a 227. § rendelkezései az irányadók.</w:t>
      </w:r>
    </w:p>
    <w:p w:rsidR="002B1DFF" w:rsidRPr="00F80071" w:rsidRDefault="002B1DFF" w:rsidP="00E350A1">
      <w:pPr>
        <w:spacing w:after="0" w:line="360" w:lineRule="auto"/>
        <w:rPr>
          <w:rFonts w:ascii="Open Sans" w:hAnsi="Open Sans" w:cs="Open Sans"/>
          <w:sz w:val="20"/>
        </w:rPr>
      </w:pPr>
    </w:p>
    <w:p w:rsidR="002B1DFF" w:rsidRPr="00F80071" w:rsidRDefault="002B1DFF" w:rsidP="00E350A1">
      <w:pPr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 xml:space="preserve">Az alábbiakban az egyes modulokba sorolt </w:t>
      </w:r>
      <w:r w:rsidR="00E350A1">
        <w:rPr>
          <w:rFonts w:ascii="Open Sans" w:hAnsi="Open Sans" w:cs="Open Sans"/>
          <w:sz w:val="20"/>
        </w:rPr>
        <w:t>választható</w:t>
      </w:r>
      <w:r w:rsidRPr="00F80071">
        <w:rPr>
          <w:rFonts w:ascii="Open Sans" w:hAnsi="Open Sans" w:cs="Open Sans"/>
          <w:sz w:val="20"/>
        </w:rPr>
        <w:t xml:space="preserve"> szakmai ismeretek körébe tartozó alternatív, majd a fakultatív kurzusok áttekintő táblázatát közöljük.</w:t>
      </w:r>
    </w:p>
    <w:p w:rsidR="002B1DFF" w:rsidRPr="00374E15" w:rsidRDefault="002B1DFF" w:rsidP="002B1DFF">
      <w:pPr>
        <w:jc w:val="center"/>
        <w:rPr>
          <w:rFonts w:ascii="Book Antiqua" w:hAnsi="Book Antiqua"/>
          <w:b/>
        </w:rPr>
        <w:sectPr w:rsidR="002B1DFF" w:rsidRPr="00374E15" w:rsidSect="003E1ED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1DFF" w:rsidRPr="00374E15" w:rsidRDefault="0044707B" w:rsidP="002B1DFF">
      <w:pPr>
        <w:rPr>
          <w:rFonts w:ascii="Book Antiqua" w:hAnsi="Book Antiqua"/>
          <w:b/>
        </w:rPr>
        <w:sectPr w:rsidR="002B1DFF" w:rsidRPr="00374E15" w:rsidSect="003E1ED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44707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0539730" cy="6410325"/>
            <wp:effectExtent l="0" t="0" r="0" b="9525"/>
            <wp:wrapTight wrapText="bothSides">
              <wp:wrapPolygon edited="0">
                <wp:start x="3318" y="0"/>
                <wp:lineTo x="1484" y="128"/>
                <wp:lineTo x="547" y="449"/>
                <wp:lineTo x="547" y="1027"/>
                <wp:lineTo x="0" y="1862"/>
                <wp:lineTo x="0" y="21568"/>
                <wp:lineTo x="21551" y="21568"/>
                <wp:lineTo x="21551" y="0"/>
                <wp:lineTo x="3318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73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1DFF" w:rsidRPr="00ED7DC2" w:rsidRDefault="002B1DFF" w:rsidP="002B1DFF">
      <w:pPr>
        <w:jc w:val="center"/>
        <w:rPr>
          <w:rFonts w:ascii="Goldenbook" w:hAnsi="Goldenbook"/>
          <w:b/>
          <w:caps/>
          <w:sz w:val="28"/>
        </w:rPr>
      </w:pPr>
      <w:r w:rsidRPr="00ED7DC2">
        <w:rPr>
          <w:rFonts w:ascii="Goldenbook" w:hAnsi="Goldenbook"/>
          <w:b/>
          <w:caps/>
          <w:sz w:val="28"/>
        </w:rPr>
        <w:t>Bűnügyi tudományok modulja</w:t>
      </w:r>
    </w:p>
    <w:p w:rsidR="002B1DFF" w:rsidRPr="00374E15" w:rsidRDefault="002B1DFF" w:rsidP="002B1DFF">
      <w:pPr>
        <w:jc w:val="center"/>
        <w:rPr>
          <w:rFonts w:ascii="Book Antiqua" w:hAnsi="Book Antiqua"/>
          <w:b/>
          <w:caps/>
          <w:sz w:val="22"/>
          <w:szCs w:val="22"/>
        </w:rPr>
      </w:pPr>
    </w:p>
    <w:p w:rsidR="002B1DFF" w:rsidRPr="00ED7DC2" w:rsidRDefault="002B1DFF" w:rsidP="002B1DFF">
      <w:pPr>
        <w:jc w:val="center"/>
        <w:rPr>
          <w:rFonts w:ascii="Goldenbook" w:hAnsi="Goldenbook"/>
          <w:b/>
          <w:szCs w:val="22"/>
        </w:rPr>
      </w:pPr>
      <w:r w:rsidRPr="00ED7DC2">
        <w:rPr>
          <w:rFonts w:ascii="Goldenbook" w:hAnsi="Goldenbook"/>
          <w:b/>
          <w:szCs w:val="22"/>
        </w:rPr>
        <w:t xml:space="preserve">Modulfelelős: </w:t>
      </w:r>
      <w:r w:rsidRPr="00ED7DC2">
        <w:rPr>
          <w:rFonts w:ascii="Goldenbook" w:hAnsi="Goldenbook"/>
          <w:b/>
          <w:smallCaps/>
          <w:szCs w:val="22"/>
        </w:rPr>
        <w:t>Dr. Gellér Balázs</w:t>
      </w:r>
      <w:r w:rsidRPr="00ED7DC2">
        <w:rPr>
          <w:rFonts w:ascii="Goldenbook" w:hAnsi="Goldenbook"/>
          <w:b/>
          <w:szCs w:val="22"/>
        </w:rPr>
        <w:t xml:space="preserve"> </w:t>
      </w:r>
      <w:r w:rsidR="0043740D" w:rsidRPr="00ED7DC2">
        <w:rPr>
          <w:rFonts w:ascii="Goldenbook" w:hAnsi="Goldenbook"/>
          <w:b/>
          <w:szCs w:val="22"/>
        </w:rPr>
        <w:t xml:space="preserve">tanszékvezető </w:t>
      </w:r>
      <w:r w:rsidRPr="00ED7DC2">
        <w:rPr>
          <w:rFonts w:ascii="Goldenbook" w:hAnsi="Goldenbook"/>
          <w:b/>
          <w:szCs w:val="22"/>
        </w:rPr>
        <w:t xml:space="preserve">egyetemi </w:t>
      </w:r>
      <w:r w:rsidR="0043740D" w:rsidRPr="00ED7DC2">
        <w:rPr>
          <w:rFonts w:ascii="Goldenbook" w:hAnsi="Goldenbook"/>
          <w:b/>
          <w:szCs w:val="22"/>
        </w:rPr>
        <w:t>tanár</w:t>
      </w:r>
    </w:p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2B1DFF" w:rsidRPr="00374E15" w:rsidTr="001F532A">
        <w:trPr>
          <w:jc w:val="center"/>
        </w:trPr>
        <w:tc>
          <w:tcPr>
            <w:tcW w:w="3599" w:type="dxa"/>
            <w:vAlign w:val="center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3491" w:type="dxa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3273F2" w:rsidRPr="00374E15" w:rsidTr="00EB29EC">
        <w:trPr>
          <w:jc w:val="center"/>
        </w:trPr>
        <w:tc>
          <w:tcPr>
            <w:tcW w:w="3599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Grundrechte im Strafverfahren</w:t>
            </w:r>
          </w:p>
        </w:tc>
        <w:tc>
          <w:tcPr>
            <w:tcW w:w="3491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Büntető Eljárásjogi és Büntetés-végrehajtási Jogi Tanszék</w:t>
            </w:r>
          </w:p>
        </w:tc>
      </w:tr>
      <w:tr w:rsidR="003273F2" w:rsidRPr="00374E15" w:rsidTr="00EB29EC">
        <w:trPr>
          <w:jc w:val="center"/>
        </w:trPr>
        <w:tc>
          <w:tcPr>
            <w:tcW w:w="3599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Büntető Jogesetmegoldó szeminárium</w:t>
            </w:r>
          </w:p>
        </w:tc>
        <w:tc>
          <w:tcPr>
            <w:tcW w:w="3491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Büntetőjogi Tanszék</w:t>
            </w:r>
          </w:p>
        </w:tc>
      </w:tr>
      <w:tr w:rsidR="003273F2" w:rsidRPr="00374E15" w:rsidTr="00EB29EC">
        <w:trPr>
          <w:jc w:val="center"/>
        </w:trPr>
        <w:tc>
          <w:tcPr>
            <w:tcW w:w="3599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Büntetőjog 1. repetitórium</w:t>
            </w:r>
          </w:p>
        </w:tc>
        <w:tc>
          <w:tcPr>
            <w:tcW w:w="3491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Büntetőjogi Tanszék</w:t>
            </w:r>
          </w:p>
        </w:tc>
      </w:tr>
      <w:tr w:rsidR="003273F2" w:rsidRPr="00374E15" w:rsidTr="00EB29EC">
        <w:trPr>
          <w:jc w:val="center"/>
        </w:trPr>
        <w:tc>
          <w:tcPr>
            <w:tcW w:w="3599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Digitalisation and the Criminal Law</w:t>
            </w:r>
          </w:p>
        </w:tc>
        <w:tc>
          <w:tcPr>
            <w:tcW w:w="3491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Büntetőjogi Tanszék</w:t>
            </w:r>
          </w:p>
        </w:tc>
      </w:tr>
      <w:tr w:rsidR="003273F2" w:rsidRPr="00374E15" w:rsidTr="00EB29EC">
        <w:trPr>
          <w:jc w:val="center"/>
        </w:trPr>
        <w:tc>
          <w:tcPr>
            <w:tcW w:w="3599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Introduction to the Hungarian Substantive Criminal Law</w:t>
            </w:r>
          </w:p>
        </w:tc>
        <w:tc>
          <w:tcPr>
            <w:tcW w:w="3491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Büntetőjogi Tanszék</w:t>
            </w:r>
          </w:p>
        </w:tc>
      </w:tr>
      <w:tr w:rsidR="003273F2" w:rsidRPr="00374E15" w:rsidTr="00EB29EC">
        <w:trPr>
          <w:jc w:val="center"/>
        </w:trPr>
        <w:tc>
          <w:tcPr>
            <w:tcW w:w="3599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Medizinstrafrecht II.</w:t>
            </w:r>
          </w:p>
        </w:tc>
        <w:tc>
          <w:tcPr>
            <w:tcW w:w="3491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Büntetőjogi Tanszék</w:t>
            </w:r>
          </w:p>
        </w:tc>
      </w:tr>
      <w:tr w:rsidR="003273F2" w:rsidRPr="00374E15" w:rsidTr="00EB29EC">
        <w:trPr>
          <w:jc w:val="center"/>
        </w:trPr>
        <w:tc>
          <w:tcPr>
            <w:tcW w:w="3599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Criminology, Crime and Criminal Justice</w:t>
            </w:r>
          </w:p>
        </w:tc>
        <w:tc>
          <w:tcPr>
            <w:tcW w:w="3491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Kriminológia Tanszék</w:t>
            </w:r>
          </w:p>
        </w:tc>
      </w:tr>
      <w:tr w:rsidR="003273F2" w:rsidRPr="00374E15" w:rsidTr="00EB29EC">
        <w:trPr>
          <w:jc w:val="center"/>
        </w:trPr>
        <w:tc>
          <w:tcPr>
            <w:tcW w:w="3599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EU human rights and criminal justice</w:t>
            </w:r>
          </w:p>
        </w:tc>
        <w:tc>
          <w:tcPr>
            <w:tcW w:w="3491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Kriminológia Tanszék</w:t>
            </w:r>
          </w:p>
        </w:tc>
      </w:tr>
      <w:tr w:rsidR="003273F2" w:rsidRPr="00374E15" w:rsidTr="00EB29EC">
        <w:trPr>
          <w:jc w:val="center"/>
        </w:trPr>
        <w:tc>
          <w:tcPr>
            <w:tcW w:w="3599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Szemelvények a büntetés-végrehajtás történetéből</w:t>
            </w:r>
          </w:p>
        </w:tc>
        <w:tc>
          <w:tcPr>
            <w:tcW w:w="3491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Magyar Állam- és Jogtörténeti Tanszék</w:t>
            </w:r>
          </w:p>
        </w:tc>
      </w:tr>
      <w:tr w:rsidR="003273F2" w:rsidRPr="00374E15" w:rsidTr="00EB29EC">
        <w:trPr>
          <w:jc w:val="center"/>
        </w:trPr>
        <w:tc>
          <w:tcPr>
            <w:tcW w:w="3599" w:type="dxa"/>
          </w:tcPr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Anty-Money Laundering and Combatting the Financing of Terrorism</w:t>
            </w:r>
          </w:p>
        </w:tc>
        <w:tc>
          <w:tcPr>
            <w:tcW w:w="3491" w:type="dxa"/>
          </w:tcPr>
          <w:p w:rsidR="003273F2" w:rsidRPr="00076E20" w:rsidRDefault="003273F2" w:rsidP="003273F2">
            <w:pPr>
              <w:ind w:firstLine="0"/>
              <w:rPr>
                <w:rFonts w:ascii="Open Sans" w:hAnsi="Open Sans" w:cs="Open Sans"/>
                <w:sz w:val="20"/>
                <w:szCs w:val="22"/>
              </w:rPr>
            </w:pPr>
          </w:p>
          <w:p w:rsidR="003273F2" w:rsidRPr="00076E20" w:rsidRDefault="003273F2" w:rsidP="003273F2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Pénzügyi Jogi Tanszék</w:t>
            </w:r>
          </w:p>
        </w:tc>
      </w:tr>
    </w:tbl>
    <w:p w:rsidR="002B1DFF" w:rsidRPr="00ED7DC2" w:rsidRDefault="002B1DFF" w:rsidP="002B1DFF">
      <w:pPr>
        <w:ind w:firstLine="0"/>
        <w:jc w:val="center"/>
        <w:rPr>
          <w:rFonts w:ascii="Goldenbook" w:hAnsi="Goldenbook"/>
          <w:b/>
          <w:caps/>
          <w:sz w:val="28"/>
        </w:rPr>
      </w:pPr>
      <w:r w:rsidRPr="00374E15">
        <w:rPr>
          <w:rFonts w:ascii="Book Antiqua" w:hAnsi="Book Antiqua"/>
          <w:sz w:val="22"/>
          <w:szCs w:val="22"/>
        </w:rPr>
        <w:br w:type="page"/>
      </w:r>
      <w:r w:rsidRPr="00ED7DC2">
        <w:rPr>
          <w:rFonts w:ascii="Goldenbook" w:hAnsi="Goldenbook"/>
          <w:b/>
          <w:caps/>
          <w:sz w:val="28"/>
        </w:rPr>
        <w:t>Civilisztikai modul</w:t>
      </w:r>
    </w:p>
    <w:p w:rsidR="002B1DFF" w:rsidRPr="00ED7DC2" w:rsidRDefault="002B1DFF" w:rsidP="002B1DFF">
      <w:pPr>
        <w:ind w:firstLine="0"/>
        <w:jc w:val="center"/>
        <w:rPr>
          <w:rFonts w:ascii="Goldenbook" w:hAnsi="Goldenbook"/>
          <w:b/>
          <w:caps/>
          <w:sz w:val="22"/>
          <w:szCs w:val="22"/>
        </w:rPr>
      </w:pPr>
    </w:p>
    <w:p w:rsidR="002B1DFF" w:rsidRPr="00ED7DC2" w:rsidRDefault="002B1DFF" w:rsidP="002B1DFF">
      <w:pPr>
        <w:ind w:firstLine="0"/>
        <w:jc w:val="center"/>
        <w:rPr>
          <w:rFonts w:ascii="Goldenbook" w:hAnsi="Goldenbook"/>
          <w:b/>
          <w:szCs w:val="22"/>
        </w:rPr>
      </w:pPr>
      <w:r w:rsidRPr="00ED7DC2">
        <w:rPr>
          <w:rFonts w:ascii="Goldenbook" w:hAnsi="Goldenbook"/>
          <w:b/>
          <w:szCs w:val="22"/>
        </w:rPr>
        <w:t xml:space="preserve">Modulfelelős: </w:t>
      </w:r>
      <w:r w:rsidRPr="00ED7DC2">
        <w:rPr>
          <w:rFonts w:ascii="Goldenbook" w:hAnsi="Goldenbook"/>
          <w:b/>
          <w:smallCaps/>
          <w:szCs w:val="22"/>
        </w:rPr>
        <w:t>Dr. Menyhárd Attila</w:t>
      </w:r>
      <w:r w:rsidRPr="00ED7DC2">
        <w:rPr>
          <w:rFonts w:ascii="Goldenbook" w:hAnsi="Goldenbook"/>
          <w:b/>
          <w:szCs w:val="22"/>
        </w:rPr>
        <w:t xml:space="preserve"> tanszékvezető egyetemi tanár</w:t>
      </w:r>
    </w:p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10"/>
          <w:szCs w:val="10"/>
        </w:rPr>
      </w:pP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2B1DFF" w:rsidRPr="00374E15" w:rsidTr="001F532A">
        <w:trPr>
          <w:jc w:val="center"/>
        </w:trPr>
        <w:tc>
          <w:tcPr>
            <w:tcW w:w="3599" w:type="dxa"/>
            <w:vAlign w:val="center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3491" w:type="dxa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CE453A" w:rsidRPr="00F14141" w:rsidTr="002D6B89">
        <w:trPr>
          <w:jc w:val="center"/>
        </w:trPr>
        <w:tc>
          <w:tcPr>
            <w:tcW w:w="3599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Médiajogi perbeszédmondó verseny felkészítő szeminárium (angol nyelven)</w:t>
            </w:r>
          </w:p>
        </w:tc>
        <w:tc>
          <w:tcPr>
            <w:tcW w:w="3491" w:type="dxa"/>
            <w:vAlign w:val="bottom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Magyar Állam- és Jogtörténeti Tanszék</w:t>
            </w:r>
          </w:p>
        </w:tc>
      </w:tr>
      <w:tr w:rsidR="00CE453A" w:rsidRPr="00F14141" w:rsidTr="002D6B89">
        <w:trPr>
          <w:jc w:val="center"/>
        </w:trPr>
        <w:tc>
          <w:tcPr>
            <w:tcW w:w="3599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Munkajog az ügyvédi gyakorlatban</w:t>
            </w:r>
          </w:p>
        </w:tc>
        <w:tc>
          <w:tcPr>
            <w:tcW w:w="3491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Munkajogi és Szociális Jogi Tanszék</w:t>
            </w:r>
          </w:p>
        </w:tc>
      </w:tr>
      <w:tr w:rsidR="00CE453A" w:rsidRPr="00F14141" w:rsidTr="002D6B89">
        <w:trPr>
          <w:jc w:val="center"/>
        </w:trPr>
        <w:tc>
          <w:tcPr>
            <w:tcW w:w="3599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A családjog alapkérdései</w:t>
            </w:r>
          </w:p>
        </w:tc>
        <w:tc>
          <w:tcPr>
            <w:tcW w:w="3491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Polgári Jogi Tanszék</w:t>
            </w:r>
          </w:p>
        </w:tc>
      </w:tr>
      <w:tr w:rsidR="00CE453A" w:rsidRPr="00F14141" w:rsidTr="002D6B89">
        <w:trPr>
          <w:jc w:val="center"/>
        </w:trPr>
        <w:tc>
          <w:tcPr>
            <w:tcW w:w="3599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A kontraktuális károkért való felelősség összehasonlító jogi elemzése</w:t>
            </w:r>
          </w:p>
        </w:tc>
        <w:tc>
          <w:tcPr>
            <w:tcW w:w="3491" w:type="dxa"/>
          </w:tcPr>
          <w:p w:rsidR="00AF6E4E" w:rsidRPr="00076E20" w:rsidRDefault="00AF6E4E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Polgári Jogi Tanszék</w:t>
            </w:r>
          </w:p>
        </w:tc>
      </w:tr>
      <w:tr w:rsidR="00CE453A" w:rsidRPr="00F14141" w:rsidTr="002D6B89">
        <w:trPr>
          <w:jc w:val="center"/>
        </w:trPr>
        <w:tc>
          <w:tcPr>
            <w:tcW w:w="3599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Einführung in das ungarische Privatrecht</w:t>
            </w:r>
          </w:p>
        </w:tc>
        <w:tc>
          <w:tcPr>
            <w:tcW w:w="3491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Polgári Jogi Tanszék</w:t>
            </w:r>
          </w:p>
        </w:tc>
      </w:tr>
      <w:tr w:rsidR="00CE453A" w:rsidRPr="00F14141" w:rsidTr="002D6B89">
        <w:trPr>
          <w:jc w:val="center"/>
        </w:trPr>
        <w:tc>
          <w:tcPr>
            <w:tcW w:w="3599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European Private Law</w:t>
            </w:r>
          </w:p>
        </w:tc>
        <w:tc>
          <w:tcPr>
            <w:tcW w:w="3491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Polgári Jogi Tanszék</w:t>
            </w:r>
          </w:p>
        </w:tc>
      </w:tr>
      <w:tr w:rsidR="00CE453A" w:rsidRPr="00F14141" w:rsidTr="002D6B89">
        <w:trPr>
          <w:jc w:val="center"/>
        </w:trPr>
        <w:tc>
          <w:tcPr>
            <w:tcW w:w="3599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The rights of children and child protection in Europe</w:t>
            </w:r>
          </w:p>
        </w:tc>
        <w:tc>
          <w:tcPr>
            <w:tcW w:w="3491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Polgári Jogi Tanszék</w:t>
            </w:r>
          </w:p>
        </w:tc>
      </w:tr>
      <w:tr w:rsidR="00CE453A" w:rsidRPr="00F14141" w:rsidTr="002D6B89">
        <w:trPr>
          <w:jc w:val="center"/>
        </w:trPr>
        <w:tc>
          <w:tcPr>
            <w:tcW w:w="3599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Ügyvédi munka nemzetközi környezetben</w:t>
            </w:r>
          </w:p>
        </w:tc>
        <w:tc>
          <w:tcPr>
            <w:tcW w:w="3491" w:type="dxa"/>
          </w:tcPr>
          <w:p w:rsidR="00CE453A" w:rsidRPr="00076E20" w:rsidRDefault="00CE453A" w:rsidP="00CE453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Polgári Jogi Tanszék</w:t>
            </w:r>
          </w:p>
        </w:tc>
      </w:tr>
    </w:tbl>
    <w:p w:rsidR="002B1DFF" w:rsidRPr="00ED7DC2" w:rsidRDefault="002B1DFF" w:rsidP="002B1DFF">
      <w:pPr>
        <w:jc w:val="center"/>
        <w:rPr>
          <w:rFonts w:ascii="Goldenbook" w:hAnsi="Goldenbook"/>
          <w:b/>
          <w:caps/>
          <w:sz w:val="28"/>
        </w:rPr>
      </w:pPr>
      <w:r w:rsidRPr="00374E15">
        <w:rPr>
          <w:rFonts w:ascii="Book Antiqua" w:hAnsi="Book Antiqua"/>
          <w:b/>
          <w:caps/>
          <w:sz w:val="22"/>
          <w:szCs w:val="22"/>
        </w:rPr>
        <w:t xml:space="preserve"> </w:t>
      </w:r>
      <w:r w:rsidRPr="00374E15">
        <w:rPr>
          <w:rFonts w:ascii="Book Antiqua" w:hAnsi="Book Antiqua"/>
          <w:b/>
          <w:caps/>
          <w:sz w:val="22"/>
          <w:szCs w:val="22"/>
        </w:rPr>
        <w:br w:type="page"/>
      </w:r>
      <w:r w:rsidRPr="00ED7DC2">
        <w:rPr>
          <w:rFonts w:ascii="Goldenbook" w:hAnsi="Goldenbook"/>
          <w:b/>
          <w:caps/>
          <w:sz w:val="28"/>
        </w:rPr>
        <w:t>Közjogi modul</w:t>
      </w:r>
    </w:p>
    <w:p w:rsidR="002B1DFF" w:rsidRPr="00ED7DC2" w:rsidRDefault="002B1DFF" w:rsidP="002B1DFF">
      <w:pPr>
        <w:jc w:val="center"/>
        <w:rPr>
          <w:rFonts w:ascii="Goldenbook" w:hAnsi="Goldenbook"/>
          <w:b/>
          <w:szCs w:val="22"/>
        </w:rPr>
      </w:pPr>
      <w:r w:rsidRPr="00ED7DC2">
        <w:rPr>
          <w:rFonts w:ascii="Goldenbook" w:hAnsi="Goldenbook"/>
          <w:b/>
          <w:szCs w:val="22"/>
        </w:rPr>
        <w:t xml:space="preserve">Modulfelelős: </w:t>
      </w:r>
      <w:r w:rsidRPr="00ED7DC2">
        <w:rPr>
          <w:rFonts w:ascii="Goldenbook" w:hAnsi="Goldenbook"/>
          <w:b/>
          <w:smallCaps/>
          <w:szCs w:val="22"/>
        </w:rPr>
        <w:t>Dr. Kukorelli István</w:t>
      </w:r>
      <w:r w:rsidRPr="00ED7DC2">
        <w:rPr>
          <w:rFonts w:ascii="Goldenbook" w:hAnsi="Goldenbook"/>
          <w:b/>
          <w:szCs w:val="22"/>
        </w:rPr>
        <w:t xml:space="preserve"> egyetemi tanár</w:t>
      </w:r>
    </w:p>
    <w:p w:rsidR="002B1DFF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3"/>
        <w:gridCol w:w="3775"/>
      </w:tblGrid>
      <w:tr w:rsidR="002B1DFF" w:rsidRPr="00374E15" w:rsidTr="001F532A">
        <w:trPr>
          <w:jc w:val="center"/>
        </w:trPr>
        <w:tc>
          <w:tcPr>
            <w:tcW w:w="4163" w:type="dxa"/>
            <w:vAlign w:val="center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3775" w:type="dxa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E91C6D" w:rsidRPr="00374E15" w:rsidTr="000439AB">
        <w:trPr>
          <w:jc w:val="center"/>
        </w:trPr>
        <w:tc>
          <w:tcPr>
            <w:tcW w:w="4163" w:type="dxa"/>
          </w:tcPr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Covid, háború és alkotmányosság: a koronavírus járványhoz, valamint a szomszédos országban zajló fegyveres konfliktushoz kapcsolódó védelmi intézkedések alkotmányossági vonatkozásai</w:t>
            </w:r>
          </w:p>
        </w:tc>
        <w:tc>
          <w:tcPr>
            <w:tcW w:w="3775" w:type="dxa"/>
          </w:tcPr>
          <w:p w:rsidR="00AF6E4E" w:rsidRPr="00076E20" w:rsidRDefault="00AF6E4E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  <w:p w:rsidR="00AF6E4E" w:rsidRPr="00076E20" w:rsidRDefault="00AF6E4E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Alkotmányjogi Tanszék</w:t>
            </w:r>
          </w:p>
        </w:tc>
      </w:tr>
      <w:tr w:rsidR="00E91C6D" w:rsidRPr="00374E15" w:rsidTr="000439AB">
        <w:trPr>
          <w:jc w:val="center"/>
        </w:trPr>
        <w:tc>
          <w:tcPr>
            <w:tcW w:w="4163" w:type="dxa"/>
          </w:tcPr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Európai emberi jogi perbeszédmondó verseny felkészítő szeminárium (angol nyelven)</w:t>
            </w:r>
          </w:p>
        </w:tc>
        <w:tc>
          <w:tcPr>
            <w:tcW w:w="3775" w:type="dxa"/>
          </w:tcPr>
          <w:p w:rsidR="00AF6E4E" w:rsidRPr="00076E20" w:rsidRDefault="00AF6E4E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Alkotmányjogi Tanszék</w:t>
            </w:r>
          </w:p>
        </w:tc>
      </w:tr>
      <w:tr w:rsidR="00E91C6D" w:rsidRPr="00374E15" w:rsidTr="000439AB">
        <w:trPr>
          <w:jc w:val="center"/>
        </w:trPr>
        <w:tc>
          <w:tcPr>
            <w:tcW w:w="4163" w:type="dxa"/>
          </w:tcPr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Klasszikus alapjogi dilemmák új kontextusban</w:t>
            </w:r>
          </w:p>
        </w:tc>
        <w:tc>
          <w:tcPr>
            <w:tcW w:w="3775" w:type="dxa"/>
          </w:tcPr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Alkotmányjogi Tanszék</w:t>
            </w:r>
          </w:p>
        </w:tc>
      </w:tr>
      <w:tr w:rsidR="00E91C6D" w:rsidRPr="00374E15" w:rsidTr="000439AB">
        <w:trPr>
          <w:jc w:val="center"/>
        </w:trPr>
        <w:tc>
          <w:tcPr>
            <w:tcW w:w="4163" w:type="dxa"/>
          </w:tcPr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Klasszikus alkotmányelméleti dilemmák új kontextusban</w:t>
            </w:r>
          </w:p>
        </w:tc>
        <w:tc>
          <w:tcPr>
            <w:tcW w:w="3775" w:type="dxa"/>
          </w:tcPr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Alkotmányjogi Tanszék</w:t>
            </w:r>
          </w:p>
        </w:tc>
      </w:tr>
      <w:tr w:rsidR="00E91C6D" w:rsidRPr="00374E15" w:rsidTr="000439AB">
        <w:trPr>
          <w:jc w:val="center"/>
        </w:trPr>
        <w:tc>
          <w:tcPr>
            <w:tcW w:w="4163" w:type="dxa"/>
          </w:tcPr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Közjogi tűnődések</w:t>
            </w:r>
          </w:p>
        </w:tc>
        <w:tc>
          <w:tcPr>
            <w:tcW w:w="3775" w:type="dxa"/>
          </w:tcPr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Alkotmányjogi Tanszék</w:t>
            </w:r>
          </w:p>
        </w:tc>
      </w:tr>
      <w:tr w:rsidR="00E91C6D" w:rsidRPr="00374E15" w:rsidTr="000439AB">
        <w:trPr>
          <w:jc w:val="center"/>
        </w:trPr>
        <w:tc>
          <w:tcPr>
            <w:tcW w:w="4163" w:type="dxa"/>
          </w:tcPr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Bíráskodás eltérő jogi kultúrákban</w:t>
            </w:r>
          </w:p>
        </w:tc>
        <w:tc>
          <w:tcPr>
            <w:tcW w:w="3775" w:type="dxa"/>
          </w:tcPr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Jog- és Társadalomelméleti Tanszék</w:t>
            </w:r>
          </w:p>
        </w:tc>
      </w:tr>
      <w:tr w:rsidR="00E91C6D" w:rsidRPr="00374E15" w:rsidTr="000439AB">
        <w:trPr>
          <w:jc w:val="center"/>
        </w:trPr>
        <w:tc>
          <w:tcPr>
            <w:tcW w:w="4163" w:type="dxa"/>
          </w:tcPr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Fejezetek az alkotmánybíráskodás történetéből</w:t>
            </w:r>
          </w:p>
        </w:tc>
        <w:tc>
          <w:tcPr>
            <w:tcW w:w="3775" w:type="dxa"/>
            <w:vAlign w:val="center"/>
          </w:tcPr>
          <w:p w:rsidR="00E91C6D" w:rsidRPr="00076E20" w:rsidRDefault="00E91C6D" w:rsidP="00E91C6D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Magyar Állam- és Jogtörténeti Tanszék</w:t>
            </w:r>
          </w:p>
        </w:tc>
      </w:tr>
    </w:tbl>
    <w:p w:rsidR="002B1DFF" w:rsidRPr="00374E15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</w:p>
    <w:p w:rsidR="002B1DFF" w:rsidRPr="00374E15" w:rsidRDefault="002B1DFF" w:rsidP="002B1DFF">
      <w:pPr>
        <w:jc w:val="center"/>
        <w:rPr>
          <w:rFonts w:ascii="Book Antiqua" w:hAnsi="Book Antiqua"/>
          <w:b/>
          <w:caps/>
        </w:rPr>
        <w:sectPr w:rsidR="002B1DFF" w:rsidRPr="00374E15" w:rsidSect="004831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1DFF" w:rsidRPr="00ED7DC2" w:rsidRDefault="002B1DFF" w:rsidP="002B1DFF">
      <w:pPr>
        <w:jc w:val="center"/>
        <w:rPr>
          <w:rFonts w:ascii="Goldenbook" w:hAnsi="Goldenbook"/>
          <w:b/>
          <w:caps/>
          <w:sz w:val="28"/>
        </w:rPr>
      </w:pPr>
      <w:r w:rsidRPr="00ED7DC2">
        <w:rPr>
          <w:rFonts w:ascii="Goldenbook" w:hAnsi="Goldenbook"/>
          <w:b/>
          <w:caps/>
          <w:sz w:val="28"/>
        </w:rPr>
        <w:t>Nemzetközi jogi és európai jogi modul</w:t>
      </w:r>
    </w:p>
    <w:p w:rsidR="002B1DFF" w:rsidRPr="00ED7DC2" w:rsidRDefault="002B1DFF" w:rsidP="00E976AF">
      <w:pPr>
        <w:jc w:val="center"/>
        <w:rPr>
          <w:rFonts w:ascii="Goldenbook" w:hAnsi="Goldenbook"/>
          <w:b/>
          <w:szCs w:val="22"/>
        </w:rPr>
      </w:pPr>
      <w:r w:rsidRPr="00ED7DC2">
        <w:rPr>
          <w:rFonts w:ascii="Goldenbook" w:hAnsi="Goldenbook"/>
          <w:b/>
          <w:szCs w:val="22"/>
        </w:rPr>
        <w:t xml:space="preserve">Modulfelelős: </w:t>
      </w:r>
      <w:r w:rsidRPr="00ED7DC2">
        <w:rPr>
          <w:rFonts w:ascii="Goldenbook" w:hAnsi="Goldenbook"/>
          <w:b/>
          <w:smallCaps/>
          <w:szCs w:val="22"/>
        </w:rPr>
        <w:t>Dr. Kardos Gábor</w:t>
      </w:r>
      <w:r w:rsidRPr="00ED7DC2">
        <w:rPr>
          <w:rFonts w:ascii="Goldenbook" w:hAnsi="Goldenbook"/>
          <w:b/>
          <w:szCs w:val="22"/>
        </w:rPr>
        <w:t xml:space="preserve"> egyetemi tanár</w:t>
      </w: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5"/>
        <w:gridCol w:w="4201"/>
      </w:tblGrid>
      <w:tr w:rsidR="002B1DFF" w:rsidRPr="004578DD" w:rsidTr="001F532A">
        <w:trPr>
          <w:jc w:val="center"/>
        </w:trPr>
        <w:tc>
          <w:tcPr>
            <w:tcW w:w="4375" w:type="dxa"/>
            <w:vAlign w:val="center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4201" w:type="dxa"/>
          </w:tcPr>
          <w:p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E976AF" w:rsidRPr="004578DD" w:rsidTr="0069068D">
        <w:trPr>
          <w:jc w:val="center"/>
        </w:trPr>
        <w:tc>
          <w:tcPr>
            <w:tcW w:w="4375" w:type="dxa"/>
          </w:tcPr>
          <w:p w:rsidR="00E976AF" w:rsidRPr="00076E20" w:rsidRDefault="00E976AF" w:rsidP="00D0621F">
            <w:pPr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EU jog olasz nyelven</w:t>
            </w:r>
          </w:p>
        </w:tc>
        <w:tc>
          <w:tcPr>
            <w:tcW w:w="4201" w:type="dxa"/>
            <w:vAlign w:val="center"/>
          </w:tcPr>
          <w:p w:rsidR="00E976AF" w:rsidRPr="00076E20" w:rsidRDefault="00E976AF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Idegen Nyelvi Oktatásszervezési Központ</w:t>
            </w:r>
          </w:p>
        </w:tc>
      </w:tr>
      <w:tr w:rsidR="00E976AF" w:rsidRPr="004578DD" w:rsidTr="00E976AF">
        <w:trPr>
          <w:trHeight w:val="542"/>
          <w:jc w:val="center"/>
        </w:trPr>
        <w:tc>
          <w:tcPr>
            <w:tcW w:w="4375" w:type="dxa"/>
          </w:tcPr>
          <w:p w:rsidR="00E976AF" w:rsidRPr="00076E20" w:rsidRDefault="00E976AF" w:rsidP="00D0621F">
            <w:pPr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Introduction au droit international public</w:t>
            </w:r>
          </w:p>
        </w:tc>
        <w:tc>
          <w:tcPr>
            <w:tcW w:w="4201" w:type="dxa"/>
          </w:tcPr>
          <w:p w:rsidR="00E976AF" w:rsidRPr="00076E20" w:rsidRDefault="00E976AF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Idegen Nyelvi Oktatásszervezési Központ</w:t>
            </w:r>
          </w:p>
        </w:tc>
      </w:tr>
      <w:tr w:rsidR="00E976AF" w:rsidRPr="004578DD" w:rsidTr="00E976AF">
        <w:trPr>
          <w:trHeight w:val="550"/>
          <w:jc w:val="center"/>
        </w:trPr>
        <w:tc>
          <w:tcPr>
            <w:tcW w:w="4375" w:type="dxa"/>
          </w:tcPr>
          <w:p w:rsidR="00E976AF" w:rsidRPr="00076E20" w:rsidRDefault="00E976AF" w:rsidP="00D0621F">
            <w:pPr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EU protection of fundamental rights</w:t>
            </w:r>
          </w:p>
        </w:tc>
        <w:tc>
          <w:tcPr>
            <w:tcW w:w="4201" w:type="dxa"/>
          </w:tcPr>
          <w:p w:rsidR="00E976AF" w:rsidRPr="00076E20" w:rsidRDefault="00E976AF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Nemzetközi Jogi Tanszék</w:t>
            </w:r>
          </w:p>
        </w:tc>
      </w:tr>
      <w:tr w:rsidR="00E976AF" w:rsidRPr="004578DD" w:rsidTr="00E976AF">
        <w:trPr>
          <w:trHeight w:val="558"/>
          <w:jc w:val="center"/>
        </w:trPr>
        <w:tc>
          <w:tcPr>
            <w:tcW w:w="4375" w:type="dxa"/>
          </w:tcPr>
          <w:p w:rsidR="00E976AF" w:rsidRPr="00076E20" w:rsidRDefault="00E976AF" w:rsidP="00D0621F">
            <w:pPr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Jessup Moot Court Competition</w:t>
            </w:r>
          </w:p>
        </w:tc>
        <w:tc>
          <w:tcPr>
            <w:tcW w:w="4201" w:type="dxa"/>
          </w:tcPr>
          <w:p w:rsidR="00E976AF" w:rsidRPr="00076E20" w:rsidRDefault="00E976AF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Nemzetközi Jogi Tanszék</w:t>
            </w:r>
          </w:p>
        </w:tc>
      </w:tr>
      <w:tr w:rsidR="00E976AF" w:rsidRPr="004578DD" w:rsidTr="00E976AF">
        <w:trPr>
          <w:trHeight w:val="552"/>
          <w:jc w:val="center"/>
        </w:trPr>
        <w:tc>
          <w:tcPr>
            <w:tcW w:w="4375" w:type="dxa"/>
          </w:tcPr>
          <w:p w:rsidR="00E976AF" w:rsidRPr="00076E20" w:rsidRDefault="00E976AF" w:rsidP="00D0621F">
            <w:pPr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Telders Moot Court Competition</w:t>
            </w:r>
          </w:p>
        </w:tc>
        <w:tc>
          <w:tcPr>
            <w:tcW w:w="4201" w:type="dxa"/>
          </w:tcPr>
          <w:p w:rsidR="00E976AF" w:rsidRPr="00076E20" w:rsidRDefault="00E976AF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Nemzetközi Jogi Tanszék</w:t>
            </w:r>
          </w:p>
        </w:tc>
      </w:tr>
      <w:tr w:rsidR="00E976AF" w:rsidRPr="004578DD" w:rsidTr="0069068D">
        <w:trPr>
          <w:trHeight w:val="759"/>
          <w:jc w:val="center"/>
        </w:trPr>
        <w:tc>
          <w:tcPr>
            <w:tcW w:w="4375" w:type="dxa"/>
          </w:tcPr>
          <w:p w:rsidR="00E976AF" w:rsidRPr="00076E20" w:rsidRDefault="00E976AF" w:rsidP="00D0621F">
            <w:pPr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"FDI Moot Court" - felkészítő kurzus az FDI Moot Court elnevezésű nemzetközi perbeszédversenyre</w:t>
            </w:r>
          </w:p>
        </w:tc>
        <w:tc>
          <w:tcPr>
            <w:tcW w:w="4201" w:type="dxa"/>
          </w:tcPr>
          <w:p w:rsidR="00E976AF" w:rsidRPr="00076E20" w:rsidRDefault="00E976AF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Nemzetközi Magánjogi és Európai Gazdasági Jogi Tanszék</w:t>
            </w:r>
          </w:p>
        </w:tc>
      </w:tr>
      <w:tr w:rsidR="00E976AF" w:rsidRPr="004578DD" w:rsidTr="0069068D">
        <w:trPr>
          <w:trHeight w:val="759"/>
          <w:jc w:val="center"/>
        </w:trPr>
        <w:tc>
          <w:tcPr>
            <w:tcW w:w="4375" w:type="dxa"/>
          </w:tcPr>
          <w:p w:rsidR="00E976AF" w:rsidRPr="00076E20" w:rsidRDefault="00E976AF" w:rsidP="00D0621F">
            <w:pPr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"Pax Moot" - felkészítő kurzus a PAX  Moot Court elnevezésű nemzetközimagánjogi perbeszédversenyre</w:t>
            </w:r>
          </w:p>
        </w:tc>
        <w:tc>
          <w:tcPr>
            <w:tcW w:w="4201" w:type="dxa"/>
          </w:tcPr>
          <w:p w:rsidR="00AF6E4E" w:rsidRPr="00076E20" w:rsidRDefault="00AF6E4E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  <w:p w:rsidR="00E976AF" w:rsidRPr="00076E20" w:rsidRDefault="00E976AF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Nemzetközi Magánjogi és Európai Gazdasági Jogi Tanszék</w:t>
            </w:r>
          </w:p>
        </w:tc>
      </w:tr>
      <w:tr w:rsidR="00E976AF" w:rsidRPr="004578DD" w:rsidTr="0069068D">
        <w:trPr>
          <w:jc w:val="center"/>
        </w:trPr>
        <w:tc>
          <w:tcPr>
            <w:tcW w:w="4375" w:type="dxa"/>
          </w:tcPr>
          <w:p w:rsidR="00E976AF" w:rsidRPr="00076E20" w:rsidRDefault="00E976AF" w:rsidP="00D0621F">
            <w:pPr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"Willem C Vis (+EAST) International Commercial Arbitration Moot Court" felkészítő kurzus a 2022/2023-as tanévben megrendezendő nemzetközi kereskedelmi jogi perbeszédversenyekre</w:t>
            </w:r>
          </w:p>
        </w:tc>
        <w:tc>
          <w:tcPr>
            <w:tcW w:w="4201" w:type="dxa"/>
          </w:tcPr>
          <w:p w:rsidR="00AF6E4E" w:rsidRPr="00076E20" w:rsidRDefault="00AF6E4E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  <w:p w:rsidR="00E976AF" w:rsidRPr="00076E20" w:rsidRDefault="00E976AF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Nemzetközi Magánjogi és Európai Gazdasági Jogi Tanszék</w:t>
            </w:r>
          </w:p>
        </w:tc>
      </w:tr>
      <w:tr w:rsidR="00E976AF" w:rsidRPr="004578DD" w:rsidTr="0069068D">
        <w:trPr>
          <w:jc w:val="center"/>
        </w:trPr>
        <w:tc>
          <w:tcPr>
            <w:tcW w:w="4375" w:type="dxa"/>
          </w:tcPr>
          <w:p w:rsidR="00E976AF" w:rsidRPr="00076E20" w:rsidRDefault="00E976AF" w:rsidP="00D0621F">
            <w:pPr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Multinational Enterprises and Private International Law</w:t>
            </w:r>
          </w:p>
        </w:tc>
        <w:tc>
          <w:tcPr>
            <w:tcW w:w="4201" w:type="dxa"/>
          </w:tcPr>
          <w:p w:rsidR="00E976AF" w:rsidRPr="00076E20" w:rsidRDefault="00E976AF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Nemzetközi Magánjogi és Európai Gazdasági Jogi Tanszék</w:t>
            </w:r>
          </w:p>
        </w:tc>
      </w:tr>
      <w:tr w:rsidR="00E976AF" w:rsidRPr="004578DD" w:rsidTr="0069068D">
        <w:trPr>
          <w:jc w:val="center"/>
        </w:trPr>
        <w:tc>
          <w:tcPr>
            <w:tcW w:w="4375" w:type="dxa"/>
          </w:tcPr>
          <w:p w:rsidR="00E976AF" w:rsidRPr="00076E20" w:rsidRDefault="00E976AF" w:rsidP="00D0621F">
            <w:pPr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Nemzetközi magánjogi jogesetmegoldás</w:t>
            </w:r>
          </w:p>
        </w:tc>
        <w:tc>
          <w:tcPr>
            <w:tcW w:w="4201" w:type="dxa"/>
          </w:tcPr>
          <w:p w:rsidR="00E976AF" w:rsidRPr="00076E20" w:rsidRDefault="00E976AF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Nemzetközi Magánjogi és Európai Gazdasági Jogi Tanszék</w:t>
            </w:r>
          </w:p>
        </w:tc>
      </w:tr>
      <w:tr w:rsidR="00E976AF" w:rsidRPr="004578DD" w:rsidTr="0069068D">
        <w:trPr>
          <w:jc w:val="center"/>
        </w:trPr>
        <w:tc>
          <w:tcPr>
            <w:tcW w:w="4375" w:type="dxa"/>
          </w:tcPr>
          <w:p w:rsidR="00E976AF" w:rsidRPr="00076E20" w:rsidRDefault="00E976AF" w:rsidP="00D0621F">
            <w:pPr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Unification of Contract Law</w:t>
            </w:r>
          </w:p>
        </w:tc>
        <w:tc>
          <w:tcPr>
            <w:tcW w:w="4201" w:type="dxa"/>
          </w:tcPr>
          <w:p w:rsidR="00E976AF" w:rsidRPr="00076E20" w:rsidRDefault="00E976AF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Nemzetközi Magánjogi és Európai Gazdasági Jogi Tanszék</w:t>
            </w:r>
          </w:p>
        </w:tc>
      </w:tr>
      <w:tr w:rsidR="00E976AF" w:rsidRPr="004578DD" w:rsidTr="00AF6E4E">
        <w:trPr>
          <w:trHeight w:val="1362"/>
          <w:jc w:val="center"/>
        </w:trPr>
        <w:tc>
          <w:tcPr>
            <w:tcW w:w="4375" w:type="dxa"/>
          </w:tcPr>
          <w:p w:rsidR="00E976AF" w:rsidRPr="00076E20" w:rsidRDefault="00E976AF" w:rsidP="00D0621F">
            <w:pPr>
              <w:ind w:firstLine="0"/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A Trust és az ahhoz hasonló vagyonkezelési modellek története, összehasonlító elemzése és hatályos szabályozása</w:t>
            </w:r>
          </w:p>
        </w:tc>
        <w:tc>
          <w:tcPr>
            <w:tcW w:w="4201" w:type="dxa"/>
            <w:vAlign w:val="center"/>
          </w:tcPr>
          <w:p w:rsidR="00E976AF" w:rsidRPr="00076E20" w:rsidRDefault="00E976AF" w:rsidP="00E976AF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sz w:val="20"/>
                <w:szCs w:val="22"/>
              </w:rPr>
              <w:t>Római Jogi és Összehasonlító Jogtörténeti Tanszék</w:t>
            </w:r>
          </w:p>
        </w:tc>
      </w:tr>
    </w:tbl>
    <w:p w:rsidR="006445BA" w:rsidRPr="004578DD" w:rsidRDefault="006445BA" w:rsidP="00AF6E4E">
      <w:pPr>
        <w:ind w:firstLine="0"/>
        <w:rPr>
          <w:rFonts w:ascii="Book Antiqua" w:hAnsi="Book Antiqua"/>
          <w:sz w:val="22"/>
          <w:szCs w:val="22"/>
        </w:rPr>
      </w:pPr>
    </w:p>
    <w:sectPr w:rsidR="006445BA" w:rsidRPr="004578DD" w:rsidSect="00FF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68" w:rsidRDefault="00FC1F68" w:rsidP="001A3ABC">
      <w:pPr>
        <w:spacing w:after="0" w:line="240" w:lineRule="auto"/>
      </w:pPr>
      <w:r>
        <w:separator/>
      </w:r>
    </w:p>
  </w:endnote>
  <w:endnote w:type="continuationSeparator" w:id="0">
    <w:p w:rsidR="00FC1F68" w:rsidRDefault="00FC1F68" w:rsidP="001A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book"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56743"/>
      <w:docPartObj>
        <w:docPartGallery w:val="Page Numbers (Bottom of Page)"/>
        <w:docPartUnique/>
      </w:docPartObj>
    </w:sdtPr>
    <w:sdtEndPr/>
    <w:sdtContent>
      <w:p w:rsidR="00FC1F68" w:rsidRDefault="007842C9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F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1F68" w:rsidRDefault="00FC1F6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2153"/>
      <w:docPartObj>
        <w:docPartGallery w:val="Page Numbers (Bottom of Page)"/>
        <w:docPartUnique/>
      </w:docPartObj>
    </w:sdtPr>
    <w:sdtEndPr/>
    <w:sdtContent>
      <w:p w:rsidR="00FC1F68" w:rsidRDefault="007842C9" w:rsidP="00F17EE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76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68" w:rsidRDefault="00FC1F68" w:rsidP="001A3ABC">
      <w:pPr>
        <w:spacing w:after="0" w:line="240" w:lineRule="auto"/>
      </w:pPr>
      <w:r>
        <w:separator/>
      </w:r>
    </w:p>
  </w:footnote>
  <w:footnote w:type="continuationSeparator" w:id="0">
    <w:p w:rsidR="00FC1F68" w:rsidRDefault="00FC1F68" w:rsidP="001A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5C5E"/>
    <w:multiLevelType w:val="hybridMultilevel"/>
    <w:tmpl w:val="A614FE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2CC"/>
    <w:multiLevelType w:val="hybridMultilevel"/>
    <w:tmpl w:val="305E009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7E44F9"/>
    <w:multiLevelType w:val="hybridMultilevel"/>
    <w:tmpl w:val="8B12DB3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C3"/>
    <w:rsid w:val="00001C1C"/>
    <w:rsid w:val="0000424F"/>
    <w:rsid w:val="00034BF3"/>
    <w:rsid w:val="000372D7"/>
    <w:rsid w:val="0004110B"/>
    <w:rsid w:val="000412F4"/>
    <w:rsid w:val="00041A5D"/>
    <w:rsid w:val="00043CA4"/>
    <w:rsid w:val="00076E20"/>
    <w:rsid w:val="00083D7E"/>
    <w:rsid w:val="00086003"/>
    <w:rsid w:val="00095E5B"/>
    <w:rsid w:val="000A1EA3"/>
    <w:rsid w:val="000B0FE6"/>
    <w:rsid w:val="000C4D1C"/>
    <w:rsid w:val="000D33EB"/>
    <w:rsid w:val="000D7291"/>
    <w:rsid w:val="000D7F54"/>
    <w:rsid w:val="000E2BB6"/>
    <w:rsid w:val="000E310F"/>
    <w:rsid w:val="000F4C6A"/>
    <w:rsid w:val="000F7BDE"/>
    <w:rsid w:val="001003F6"/>
    <w:rsid w:val="00110D38"/>
    <w:rsid w:val="00111F6C"/>
    <w:rsid w:val="00112D9A"/>
    <w:rsid w:val="00120FF0"/>
    <w:rsid w:val="0012220C"/>
    <w:rsid w:val="00130023"/>
    <w:rsid w:val="00131E87"/>
    <w:rsid w:val="00137DA5"/>
    <w:rsid w:val="00141E1D"/>
    <w:rsid w:val="00142A27"/>
    <w:rsid w:val="001651C6"/>
    <w:rsid w:val="00172C2A"/>
    <w:rsid w:val="001752D6"/>
    <w:rsid w:val="00176E3F"/>
    <w:rsid w:val="00190844"/>
    <w:rsid w:val="00192592"/>
    <w:rsid w:val="001A3ABC"/>
    <w:rsid w:val="001A7D90"/>
    <w:rsid w:val="001B31FB"/>
    <w:rsid w:val="001D089A"/>
    <w:rsid w:val="001D35D7"/>
    <w:rsid w:val="001E26F0"/>
    <w:rsid w:val="001E52CF"/>
    <w:rsid w:val="001F6133"/>
    <w:rsid w:val="001F7A5A"/>
    <w:rsid w:val="00200437"/>
    <w:rsid w:val="00207033"/>
    <w:rsid w:val="002118B6"/>
    <w:rsid w:val="002136A9"/>
    <w:rsid w:val="00224BCF"/>
    <w:rsid w:val="00227EAA"/>
    <w:rsid w:val="002345E1"/>
    <w:rsid w:val="0025058E"/>
    <w:rsid w:val="00251E13"/>
    <w:rsid w:val="002543AD"/>
    <w:rsid w:val="002543E2"/>
    <w:rsid w:val="0027687A"/>
    <w:rsid w:val="0027729B"/>
    <w:rsid w:val="002777C4"/>
    <w:rsid w:val="002813ED"/>
    <w:rsid w:val="00291645"/>
    <w:rsid w:val="00293174"/>
    <w:rsid w:val="002954D5"/>
    <w:rsid w:val="002974CB"/>
    <w:rsid w:val="002A3169"/>
    <w:rsid w:val="002B1DFF"/>
    <w:rsid w:val="002B4CFB"/>
    <w:rsid w:val="002C1A48"/>
    <w:rsid w:val="002C3CF3"/>
    <w:rsid w:val="002D200B"/>
    <w:rsid w:val="002D2200"/>
    <w:rsid w:val="002E063F"/>
    <w:rsid w:val="002F115B"/>
    <w:rsid w:val="002F23C9"/>
    <w:rsid w:val="00314117"/>
    <w:rsid w:val="00314FE0"/>
    <w:rsid w:val="00315269"/>
    <w:rsid w:val="00323140"/>
    <w:rsid w:val="003273F2"/>
    <w:rsid w:val="00331730"/>
    <w:rsid w:val="00353F34"/>
    <w:rsid w:val="003558A6"/>
    <w:rsid w:val="00356EE6"/>
    <w:rsid w:val="0036217D"/>
    <w:rsid w:val="00365888"/>
    <w:rsid w:val="003659B1"/>
    <w:rsid w:val="0037279E"/>
    <w:rsid w:val="00373518"/>
    <w:rsid w:val="00374E15"/>
    <w:rsid w:val="0038164E"/>
    <w:rsid w:val="0039185D"/>
    <w:rsid w:val="003A0244"/>
    <w:rsid w:val="003A219A"/>
    <w:rsid w:val="003A2F71"/>
    <w:rsid w:val="003A53D8"/>
    <w:rsid w:val="003B4C15"/>
    <w:rsid w:val="003D384F"/>
    <w:rsid w:val="003E1ED9"/>
    <w:rsid w:val="003E1F31"/>
    <w:rsid w:val="003E46FB"/>
    <w:rsid w:val="003E53C3"/>
    <w:rsid w:val="003E631A"/>
    <w:rsid w:val="003F281F"/>
    <w:rsid w:val="00400652"/>
    <w:rsid w:val="00406124"/>
    <w:rsid w:val="00406E65"/>
    <w:rsid w:val="00407D7D"/>
    <w:rsid w:val="00413A4E"/>
    <w:rsid w:val="004173BD"/>
    <w:rsid w:val="004267FF"/>
    <w:rsid w:val="00427011"/>
    <w:rsid w:val="0043117B"/>
    <w:rsid w:val="00435725"/>
    <w:rsid w:val="0043740D"/>
    <w:rsid w:val="004465DA"/>
    <w:rsid w:val="0044707B"/>
    <w:rsid w:val="0045704E"/>
    <w:rsid w:val="004578DD"/>
    <w:rsid w:val="00457DA5"/>
    <w:rsid w:val="004621A9"/>
    <w:rsid w:val="00471332"/>
    <w:rsid w:val="00472A27"/>
    <w:rsid w:val="00475E63"/>
    <w:rsid w:val="00481D55"/>
    <w:rsid w:val="004824AB"/>
    <w:rsid w:val="0048258F"/>
    <w:rsid w:val="004831A8"/>
    <w:rsid w:val="00483519"/>
    <w:rsid w:val="00484A7B"/>
    <w:rsid w:val="004A0809"/>
    <w:rsid w:val="004B2997"/>
    <w:rsid w:val="004B7F1C"/>
    <w:rsid w:val="004D36E5"/>
    <w:rsid w:val="004D60F8"/>
    <w:rsid w:val="004E5C16"/>
    <w:rsid w:val="004F30EC"/>
    <w:rsid w:val="00501B0A"/>
    <w:rsid w:val="0050585A"/>
    <w:rsid w:val="00526622"/>
    <w:rsid w:val="00535E30"/>
    <w:rsid w:val="00536AD0"/>
    <w:rsid w:val="005374E8"/>
    <w:rsid w:val="005376DD"/>
    <w:rsid w:val="005400A9"/>
    <w:rsid w:val="005419A2"/>
    <w:rsid w:val="00542CFF"/>
    <w:rsid w:val="0056678C"/>
    <w:rsid w:val="00571607"/>
    <w:rsid w:val="00573A5E"/>
    <w:rsid w:val="00573E9F"/>
    <w:rsid w:val="0057411D"/>
    <w:rsid w:val="00574499"/>
    <w:rsid w:val="00574F91"/>
    <w:rsid w:val="00593FEF"/>
    <w:rsid w:val="005952F4"/>
    <w:rsid w:val="005A4AC6"/>
    <w:rsid w:val="005B22A5"/>
    <w:rsid w:val="005B352F"/>
    <w:rsid w:val="005B5F6A"/>
    <w:rsid w:val="005D4789"/>
    <w:rsid w:val="005D4A37"/>
    <w:rsid w:val="005D6DD8"/>
    <w:rsid w:val="00602DA9"/>
    <w:rsid w:val="00613576"/>
    <w:rsid w:val="00613825"/>
    <w:rsid w:val="00622A87"/>
    <w:rsid w:val="00625051"/>
    <w:rsid w:val="00626A7E"/>
    <w:rsid w:val="00634BE0"/>
    <w:rsid w:val="00635A55"/>
    <w:rsid w:val="00635FFD"/>
    <w:rsid w:val="0064258E"/>
    <w:rsid w:val="00643E7A"/>
    <w:rsid w:val="006445BA"/>
    <w:rsid w:val="00654808"/>
    <w:rsid w:val="00656DA5"/>
    <w:rsid w:val="006665D0"/>
    <w:rsid w:val="0067604A"/>
    <w:rsid w:val="00683F9D"/>
    <w:rsid w:val="006A11F7"/>
    <w:rsid w:val="006B787B"/>
    <w:rsid w:val="006C03B1"/>
    <w:rsid w:val="006C0DA7"/>
    <w:rsid w:val="006D2C74"/>
    <w:rsid w:val="006D34E9"/>
    <w:rsid w:val="006D3C44"/>
    <w:rsid w:val="006D4130"/>
    <w:rsid w:val="006D4C4A"/>
    <w:rsid w:val="006D580E"/>
    <w:rsid w:val="006D6754"/>
    <w:rsid w:val="006E0BD4"/>
    <w:rsid w:val="006F0300"/>
    <w:rsid w:val="006F240D"/>
    <w:rsid w:val="00706E9C"/>
    <w:rsid w:val="0071144C"/>
    <w:rsid w:val="00713995"/>
    <w:rsid w:val="00717FEB"/>
    <w:rsid w:val="00732DC7"/>
    <w:rsid w:val="00736169"/>
    <w:rsid w:val="0073682F"/>
    <w:rsid w:val="00744BD8"/>
    <w:rsid w:val="007603DA"/>
    <w:rsid w:val="0076567B"/>
    <w:rsid w:val="00772372"/>
    <w:rsid w:val="00777469"/>
    <w:rsid w:val="0078164E"/>
    <w:rsid w:val="007836A8"/>
    <w:rsid w:val="007842C9"/>
    <w:rsid w:val="00793A7B"/>
    <w:rsid w:val="007A3120"/>
    <w:rsid w:val="007A4F92"/>
    <w:rsid w:val="007A709C"/>
    <w:rsid w:val="007A77AC"/>
    <w:rsid w:val="007B14C8"/>
    <w:rsid w:val="007B167C"/>
    <w:rsid w:val="007C0ECF"/>
    <w:rsid w:val="007C2CB2"/>
    <w:rsid w:val="007C381C"/>
    <w:rsid w:val="007C6750"/>
    <w:rsid w:val="007C7C82"/>
    <w:rsid w:val="007E7B7C"/>
    <w:rsid w:val="007F061A"/>
    <w:rsid w:val="00803476"/>
    <w:rsid w:val="00815D2B"/>
    <w:rsid w:val="008169F5"/>
    <w:rsid w:val="008258D1"/>
    <w:rsid w:val="008313CE"/>
    <w:rsid w:val="00835DE1"/>
    <w:rsid w:val="00847487"/>
    <w:rsid w:val="008578A2"/>
    <w:rsid w:val="00895A5F"/>
    <w:rsid w:val="00895DCC"/>
    <w:rsid w:val="008A3498"/>
    <w:rsid w:val="008B73BA"/>
    <w:rsid w:val="008C753E"/>
    <w:rsid w:val="008C7974"/>
    <w:rsid w:val="008D2116"/>
    <w:rsid w:val="008D4940"/>
    <w:rsid w:val="008F0FC2"/>
    <w:rsid w:val="008F1C1C"/>
    <w:rsid w:val="008F29D2"/>
    <w:rsid w:val="008F6B48"/>
    <w:rsid w:val="008F7B6F"/>
    <w:rsid w:val="0091481D"/>
    <w:rsid w:val="00915B75"/>
    <w:rsid w:val="00925B51"/>
    <w:rsid w:val="00942412"/>
    <w:rsid w:val="0094669A"/>
    <w:rsid w:val="009601FA"/>
    <w:rsid w:val="0096291B"/>
    <w:rsid w:val="009639AF"/>
    <w:rsid w:val="0096591A"/>
    <w:rsid w:val="009707A0"/>
    <w:rsid w:val="009840A8"/>
    <w:rsid w:val="00984AA9"/>
    <w:rsid w:val="0099096C"/>
    <w:rsid w:val="00992931"/>
    <w:rsid w:val="009A29BF"/>
    <w:rsid w:val="009A3DDC"/>
    <w:rsid w:val="009A5EC9"/>
    <w:rsid w:val="009B0B67"/>
    <w:rsid w:val="009D0FAD"/>
    <w:rsid w:val="009D2E98"/>
    <w:rsid w:val="009D77BF"/>
    <w:rsid w:val="009E0229"/>
    <w:rsid w:val="009E481C"/>
    <w:rsid w:val="009E5C68"/>
    <w:rsid w:val="009F5B05"/>
    <w:rsid w:val="00A03191"/>
    <w:rsid w:val="00A043FF"/>
    <w:rsid w:val="00A111C5"/>
    <w:rsid w:val="00A13EF2"/>
    <w:rsid w:val="00A15B2E"/>
    <w:rsid w:val="00A17190"/>
    <w:rsid w:val="00A2502A"/>
    <w:rsid w:val="00A2610B"/>
    <w:rsid w:val="00A3268B"/>
    <w:rsid w:val="00A332D7"/>
    <w:rsid w:val="00A34D47"/>
    <w:rsid w:val="00A372E4"/>
    <w:rsid w:val="00A44C0D"/>
    <w:rsid w:val="00A52FC3"/>
    <w:rsid w:val="00A53122"/>
    <w:rsid w:val="00A566BF"/>
    <w:rsid w:val="00A71222"/>
    <w:rsid w:val="00A723B7"/>
    <w:rsid w:val="00A80E84"/>
    <w:rsid w:val="00A853C7"/>
    <w:rsid w:val="00A957D6"/>
    <w:rsid w:val="00AB0423"/>
    <w:rsid w:val="00AF2AD8"/>
    <w:rsid w:val="00AF4F13"/>
    <w:rsid w:val="00AF6E4E"/>
    <w:rsid w:val="00B0078C"/>
    <w:rsid w:val="00B0207D"/>
    <w:rsid w:val="00B037D0"/>
    <w:rsid w:val="00B138DE"/>
    <w:rsid w:val="00B14269"/>
    <w:rsid w:val="00B2100C"/>
    <w:rsid w:val="00B22618"/>
    <w:rsid w:val="00B24769"/>
    <w:rsid w:val="00B27A30"/>
    <w:rsid w:val="00B33A5F"/>
    <w:rsid w:val="00B42D7C"/>
    <w:rsid w:val="00B47B05"/>
    <w:rsid w:val="00B51BB4"/>
    <w:rsid w:val="00B53E50"/>
    <w:rsid w:val="00B5420B"/>
    <w:rsid w:val="00B60B12"/>
    <w:rsid w:val="00B94E0B"/>
    <w:rsid w:val="00BA614F"/>
    <w:rsid w:val="00BA653F"/>
    <w:rsid w:val="00BB22A9"/>
    <w:rsid w:val="00BB5784"/>
    <w:rsid w:val="00BC433A"/>
    <w:rsid w:val="00BD0D4D"/>
    <w:rsid w:val="00BD18F1"/>
    <w:rsid w:val="00BE5DBA"/>
    <w:rsid w:val="00BF0A35"/>
    <w:rsid w:val="00C0252F"/>
    <w:rsid w:val="00C05566"/>
    <w:rsid w:val="00C15DC2"/>
    <w:rsid w:val="00C252A8"/>
    <w:rsid w:val="00C3246A"/>
    <w:rsid w:val="00C3673F"/>
    <w:rsid w:val="00C4577F"/>
    <w:rsid w:val="00C45D57"/>
    <w:rsid w:val="00C5163C"/>
    <w:rsid w:val="00C62641"/>
    <w:rsid w:val="00C62B23"/>
    <w:rsid w:val="00C64155"/>
    <w:rsid w:val="00C65647"/>
    <w:rsid w:val="00C821C8"/>
    <w:rsid w:val="00C8686E"/>
    <w:rsid w:val="00C87EC6"/>
    <w:rsid w:val="00C91CB9"/>
    <w:rsid w:val="00C95599"/>
    <w:rsid w:val="00C9720B"/>
    <w:rsid w:val="00CB01B9"/>
    <w:rsid w:val="00CB0392"/>
    <w:rsid w:val="00CB0A74"/>
    <w:rsid w:val="00CB1F86"/>
    <w:rsid w:val="00CB2996"/>
    <w:rsid w:val="00CC077C"/>
    <w:rsid w:val="00CC1A55"/>
    <w:rsid w:val="00CD054B"/>
    <w:rsid w:val="00CD2AB9"/>
    <w:rsid w:val="00CD32C3"/>
    <w:rsid w:val="00CD6521"/>
    <w:rsid w:val="00CD7AE1"/>
    <w:rsid w:val="00CE0A80"/>
    <w:rsid w:val="00CE0B73"/>
    <w:rsid w:val="00CE2E97"/>
    <w:rsid w:val="00CE453A"/>
    <w:rsid w:val="00CE4899"/>
    <w:rsid w:val="00CE660B"/>
    <w:rsid w:val="00D015AE"/>
    <w:rsid w:val="00D03D4E"/>
    <w:rsid w:val="00D0621F"/>
    <w:rsid w:val="00D06B20"/>
    <w:rsid w:val="00D17123"/>
    <w:rsid w:val="00D23448"/>
    <w:rsid w:val="00D407E2"/>
    <w:rsid w:val="00D41831"/>
    <w:rsid w:val="00D42CE5"/>
    <w:rsid w:val="00D53B4A"/>
    <w:rsid w:val="00D6087C"/>
    <w:rsid w:val="00D626FD"/>
    <w:rsid w:val="00D62F8D"/>
    <w:rsid w:val="00D67DBF"/>
    <w:rsid w:val="00D94E15"/>
    <w:rsid w:val="00D96714"/>
    <w:rsid w:val="00DA1A1B"/>
    <w:rsid w:val="00DA1D5A"/>
    <w:rsid w:val="00DB2C6B"/>
    <w:rsid w:val="00DB407E"/>
    <w:rsid w:val="00DB4F99"/>
    <w:rsid w:val="00DB5219"/>
    <w:rsid w:val="00DC1E72"/>
    <w:rsid w:val="00DC6187"/>
    <w:rsid w:val="00DD314A"/>
    <w:rsid w:val="00DE056A"/>
    <w:rsid w:val="00DE31FB"/>
    <w:rsid w:val="00DE40B1"/>
    <w:rsid w:val="00DE74F7"/>
    <w:rsid w:val="00DE798D"/>
    <w:rsid w:val="00DF3713"/>
    <w:rsid w:val="00E038FC"/>
    <w:rsid w:val="00E122CA"/>
    <w:rsid w:val="00E1672B"/>
    <w:rsid w:val="00E24192"/>
    <w:rsid w:val="00E30BF3"/>
    <w:rsid w:val="00E32E8D"/>
    <w:rsid w:val="00E350A1"/>
    <w:rsid w:val="00E46C2C"/>
    <w:rsid w:val="00E503E3"/>
    <w:rsid w:val="00E5221A"/>
    <w:rsid w:val="00E61ECA"/>
    <w:rsid w:val="00E64959"/>
    <w:rsid w:val="00E91C6D"/>
    <w:rsid w:val="00E976AF"/>
    <w:rsid w:val="00EA170C"/>
    <w:rsid w:val="00EA63F6"/>
    <w:rsid w:val="00EB2CF8"/>
    <w:rsid w:val="00EB58FD"/>
    <w:rsid w:val="00EB6B7D"/>
    <w:rsid w:val="00EC298C"/>
    <w:rsid w:val="00EC4023"/>
    <w:rsid w:val="00EC76E6"/>
    <w:rsid w:val="00ED7DC2"/>
    <w:rsid w:val="00EE1160"/>
    <w:rsid w:val="00EE5CA0"/>
    <w:rsid w:val="00EE62A1"/>
    <w:rsid w:val="00F02AD9"/>
    <w:rsid w:val="00F12483"/>
    <w:rsid w:val="00F14141"/>
    <w:rsid w:val="00F17EEA"/>
    <w:rsid w:val="00F23939"/>
    <w:rsid w:val="00F2505A"/>
    <w:rsid w:val="00F27839"/>
    <w:rsid w:val="00F30563"/>
    <w:rsid w:val="00F34F07"/>
    <w:rsid w:val="00F63C01"/>
    <w:rsid w:val="00F6435D"/>
    <w:rsid w:val="00F74F70"/>
    <w:rsid w:val="00F7775F"/>
    <w:rsid w:val="00F80071"/>
    <w:rsid w:val="00F83C7A"/>
    <w:rsid w:val="00F84D5D"/>
    <w:rsid w:val="00F84DB0"/>
    <w:rsid w:val="00F86BE6"/>
    <w:rsid w:val="00F9496F"/>
    <w:rsid w:val="00FA5BEC"/>
    <w:rsid w:val="00FB3E76"/>
    <w:rsid w:val="00FC1F68"/>
    <w:rsid w:val="00FC6513"/>
    <w:rsid w:val="00FD33C8"/>
    <w:rsid w:val="00FD3CE3"/>
    <w:rsid w:val="00FD57B0"/>
    <w:rsid w:val="00FE0935"/>
    <w:rsid w:val="00FE16DB"/>
    <w:rsid w:val="00FE2CF6"/>
    <w:rsid w:val="00FE40BE"/>
    <w:rsid w:val="00FF0067"/>
    <w:rsid w:val="00FF6181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DA06C618-D249-4148-9AEA-3AD5EE8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32C3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D32C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CD32C3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056A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E1ED9"/>
    <w:pPr>
      <w:spacing w:after="0" w:line="240" w:lineRule="auto"/>
      <w:ind w:left="720" w:firstLine="0"/>
      <w:contextualSpacing/>
      <w:jc w:val="left"/>
    </w:pPr>
  </w:style>
  <w:style w:type="paragraph" w:styleId="lfej">
    <w:name w:val="header"/>
    <w:basedOn w:val="Norml"/>
    <w:link w:val="lfejChar"/>
    <w:uiPriority w:val="99"/>
    <w:unhideWhenUsed/>
    <w:rsid w:val="00F1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7EE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package" Target="embeddings/Microsoft_Excel-munkalap4.xlsx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package" Target="embeddings/Microsoft_Excel-munkalap1.xlsx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package" Target="embeddings/Microsoft_Excel-munkalap3.xlsx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footer" Target="footer2.xml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-munkalap.xlsx"/><Relationship Id="rId14" Type="http://schemas.openxmlformats.org/officeDocument/2006/relationships/package" Target="embeddings/Microsoft_Excel-munkalap2.xlsx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702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Dr. Bihari Zsuzsanna</cp:lastModifiedBy>
  <cp:revision>134</cp:revision>
  <cp:lastPrinted>2014-07-21T11:07:00Z</cp:lastPrinted>
  <dcterms:created xsi:type="dcterms:W3CDTF">2017-04-19T07:50:00Z</dcterms:created>
  <dcterms:modified xsi:type="dcterms:W3CDTF">2022-06-30T09:27:00Z</dcterms:modified>
</cp:coreProperties>
</file>