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3857B" w14:textId="14672004" w:rsidR="00294121" w:rsidRDefault="00294121" w:rsidP="00294121">
      <w:pPr>
        <w:ind w:left="720" w:hanging="360"/>
      </w:pPr>
      <w:r>
        <w:t>Szaktárgyi vizsgakövetelmények „Egyenlő Bánásmód a Munkajogban” tárgyból</w:t>
      </w:r>
    </w:p>
    <w:p w14:paraId="263EDF79" w14:textId="77777777" w:rsidR="00294121" w:rsidRPr="00294121" w:rsidRDefault="00294121" w:rsidP="00294121">
      <w:pPr>
        <w:numPr>
          <w:ilvl w:val="0"/>
          <w:numId w:val="1"/>
        </w:numPr>
      </w:pPr>
      <w:r w:rsidRPr="00294121">
        <w:t>A diszkrimináció tilalmának elve</w:t>
      </w:r>
    </w:p>
    <w:p w14:paraId="550FED7D" w14:textId="77777777" w:rsidR="00294121" w:rsidRPr="00294121" w:rsidRDefault="00294121" w:rsidP="00294121">
      <w:pPr>
        <w:numPr>
          <w:ilvl w:val="0"/>
          <w:numId w:val="1"/>
        </w:numPr>
      </w:pPr>
      <w:r w:rsidRPr="00294121">
        <w:t>A közvetlen diszkrimináció fogalma, feltételei és tipikus esetei az Európai Unió Bíróságának gyakorlatában</w:t>
      </w:r>
    </w:p>
    <w:p w14:paraId="5F16A7A7" w14:textId="77777777" w:rsidR="00294121" w:rsidRPr="00294121" w:rsidRDefault="00294121" w:rsidP="00294121">
      <w:pPr>
        <w:numPr>
          <w:ilvl w:val="0"/>
          <w:numId w:val="1"/>
        </w:numPr>
      </w:pPr>
      <w:r w:rsidRPr="00294121">
        <w:t>A közvetett diszkrimináció fogalma, felismerése és jogi megítélése az Európai Unió Bíróságának gyakorlatában</w:t>
      </w:r>
    </w:p>
    <w:p w14:paraId="032AAA4E" w14:textId="77777777" w:rsidR="00294121" w:rsidRPr="00294121" w:rsidRDefault="00294121" w:rsidP="00294121">
      <w:pPr>
        <w:numPr>
          <w:ilvl w:val="0"/>
          <w:numId w:val="1"/>
        </w:numPr>
      </w:pPr>
      <w:r w:rsidRPr="00294121">
        <w:t>Az egyenlő bér elve és annak gyakorlati alkalmazása az Európai Unió Bíróságának gyakorlatában</w:t>
      </w:r>
    </w:p>
    <w:p w14:paraId="16D436C0" w14:textId="77777777" w:rsidR="00294121" w:rsidRPr="00294121" w:rsidRDefault="00294121" w:rsidP="00294121">
      <w:pPr>
        <w:numPr>
          <w:ilvl w:val="0"/>
          <w:numId w:val="1"/>
        </w:numPr>
      </w:pPr>
      <w:r w:rsidRPr="00294121">
        <w:t>A család és az anyaság védelmének jogi eszközei és jelentősége</w:t>
      </w:r>
    </w:p>
    <w:p w14:paraId="66451102" w14:textId="77777777" w:rsidR="00294121" w:rsidRPr="00294121" w:rsidRDefault="00294121" w:rsidP="00294121">
      <w:pPr>
        <w:numPr>
          <w:ilvl w:val="0"/>
          <w:numId w:val="1"/>
        </w:numPr>
      </w:pPr>
      <w:r w:rsidRPr="00294121">
        <w:t>A 2006/54/EK irányelv céljai, főbb rendelkezései és megközelítése</w:t>
      </w:r>
    </w:p>
    <w:p w14:paraId="02AA5F7C" w14:textId="77777777" w:rsidR="00294121" w:rsidRPr="00294121" w:rsidRDefault="00294121" w:rsidP="00294121">
      <w:pPr>
        <w:numPr>
          <w:ilvl w:val="0"/>
          <w:numId w:val="1"/>
        </w:numPr>
      </w:pPr>
      <w:r w:rsidRPr="00294121">
        <w:t>A szülők és gondozók védelmének jogi keretei és eszközei</w:t>
      </w:r>
    </w:p>
    <w:p w14:paraId="5D1DBEC9" w14:textId="77777777" w:rsidR="00294121" w:rsidRPr="00294121" w:rsidRDefault="00294121" w:rsidP="00294121">
      <w:pPr>
        <w:numPr>
          <w:ilvl w:val="0"/>
          <w:numId w:val="1"/>
        </w:numPr>
      </w:pPr>
      <w:r w:rsidRPr="00294121">
        <w:t>Az apasági és szülői szabadság szabályozása és jelentősége</w:t>
      </w:r>
    </w:p>
    <w:p w14:paraId="592CFB57" w14:textId="77777777" w:rsidR="00294121" w:rsidRPr="00294121" w:rsidRDefault="00294121" w:rsidP="00294121">
      <w:pPr>
        <w:numPr>
          <w:ilvl w:val="0"/>
          <w:numId w:val="1"/>
        </w:numPr>
      </w:pPr>
      <w:r w:rsidRPr="00294121">
        <w:t>Az EUMSZ 19. cikkén alapuló irányelvek rendszere és szerepe az egyenlőség biztosításában</w:t>
      </w:r>
    </w:p>
    <w:p w14:paraId="2DB30CAD" w14:textId="77777777" w:rsidR="00294121" w:rsidRPr="00294121" w:rsidRDefault="00294121" w:rsidP="00294121">
      <w:pPr>
        <w:numPr>
          <w:ilvl w:val="0"/>
          <w:numId w:val="1"/>
        </w:numPr>
      </w:pPr>
      <w:r w:rsidRPr="00294121">
        <w:t>A fogyatékossággal élő személyek speciális helyzete, valamint az észszerű alkalmazkodás követelménye és gyakorlata</w:t>
      </w:r>
    </w:p>
    <w:p w14:paraId="5F9AFE6C" w14:textId="77777777" w:rsidR="00294121" w:rsidRDefault="00294121"/>
    <w:sectPr w:rsidR="002941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97551"/>
    <w:multiLevelType w:val="hybridMultilevel"/>
    <w:tmpl w:val="DEE6BD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0475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121"/>
    <w:rsid w:val="00294121"/>
    <w:rsid w:val="0038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A300F"/>
  <w15:chartTrackingRefBased/>
  <w15:docId w15:val="{1C165930-F441-45C8-84CC-8A3E39D64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1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1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1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1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1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1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1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1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1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1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1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1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1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1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1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1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1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41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4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1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4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41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41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41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1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1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1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37222361BA5FD4EB52A3BBBC0EDE241" ma:contentTypeVersion="17" ma:contentTypeDescription="Új dokumentum létrehozása." ma:contentTypeScope="" ma:versionID="7ac277c5e7e5f3c450e534e13de26fdb">
  <xsd:schema xmlns:xsd="http://www.w3.org/2001/XMLSchema" xmlns:xs="http://www.w3.org/2001/XMLSchema" xmlns:p="http://schemas.microsoft.com/office/2006/metadata/properties" xmlns:ns2="52a35711-7040-4e74-9245-913a154ef2d5" xmlns:ns3="88192863-6cf6-4233-b0dd-2540680eef58" targetNamespace="http://schemas.microsoft.com/office/2006/metadata/properties" ma:root="true" ma:fieldsID="1e87c487c866f495c97fa7f763d95309" ns2:_="" ns3:_="">
    <xsd:import namespace="52a35711-7040-4e74-9245-913a154ef2d5"/>
    <xsd:import namespace="88192863-6cf6-4233-b0dd-2540680ee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35711-7040-4e74-9245-913a154ef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92863-6cf6-4233-b0dd-2540680eef5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d2de742-3517-4e21-9f9b-c11fd57e72e6}" ma:internalName="TaxCatchAll" ma:showField="CatchAllData" ma:web="88192863-6cf6-4233-b0dd-2540680ee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a35711-7040-4e74-9245-913a154ef2d5">
      <Terms xmlns="http://schemas.microsoft.com/office/infopath/2007/PartnerControls"/>
    </lcf76f155ced4ddcb4097134ff3c332f>
    <TaxCatchAll xmlns="88192863-6cf6-4233-b0dd-2540680eef58" xsi:nil="true"/>
  </documentManagement>
</p:properties>
</file>

<file path=customXml/itemProps1.xml><?xml version="1.0" encoding="utf-8"?>
<ds:datastoreItem xmlns:ds="http://schemas.openxmlformats.org/officeDocument/2006/customXml" ds:itemID="{D55417D5-4AD1-4913-93BA-56CC064F8EB9}"/>
</file>

<file path=customXml/itemProps2.xml><?xml version="1.0" encoding="utf-8"?>
<ds:datastoreItem xmlns:ds="http://schemas.openxmlformats.org/officeDocument/2006/customXml" ds:itemID="{FCF06A17-A0EA-4717-A670-C68C546C252C}"/>
</file>

<file path=customXml/itemProps3.xml><?xml version="1.0" encoding="utf-8"?>
<ds:datastoreItem xmlns:ds="http://schemas.openxmlformats.org/officeDocument/2006/customXml" ds:itemID="{2283E97E-8078-4BE7-99C2-033EB8310B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757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Hungler Sára</dc:creator>
  <cp:keywords/>
  <dc:description/>
  <cp:lastModifiedBy>Dr. Hungler Sára</cp:lastModifiedBy>
  <cp:revision>1</cp:revision>
  <dcterms:created xsi:type="dcterms:W3CDTF">2026-04-28T07:25:00Z</dcterms:created>
  <dcterms:modified xsi:type="dcterms:W3CDTF">2026-04-28T07:29:00Z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126e69a6-9f78-46c9-930d-f2ac544c59f3</vt:lpwstr>
  </property>
  <property fmtid="{D5CDD505-2E9C-101B-9397-08002B2CF9AE}" pid="3" name="ContentTypeId">
    <vt:lpwstr>0x010100137222361BA5FD4EB52A3BBBC0EDE241</vt:lpwstr>
  </property>
</Properties>
</file>