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BB" w:rsidRPr="00F47ABB" w:rsidRDefault="00F47ABB" w:rsidP="00F47AB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7ABB">
        <w:rPr>
          <w:rFonts w:eastAsia="Times New Roman" w:cstheme="minorHAnsi"/>
          <w:sz w:val="24"/>
          <w:szCs w:val="24"/>
          <w:lang w:eastAsia="hu-HU"/>
        </w:rPr>
        <w:t>Alkotmányos alapjogok érvényesülése a büntetőeljárásban</w:t>
      </w:r>
    </w:p>
    <w:p w:rsidR="00F47ABB" w:rsidRPr="00F47ABB" w:rsidRDefault="00F47ABB" w:rsidP="00F47AB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7ABB">
        <w:rPr>
          <w:rFonts w:eastAsia="Times New Roman" w:cstheme="minorHAnsi"/>
          <w:sz w:val="24"/>
          <w:szCs w:val="24"/>
          <w:lang w:eastAsia="hu-HU"/>
        </w:rPr>
        <w:br/>
        <w:t>Nappali tagozat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2022-2023. tavaszi szemeszter</w:t>
      </w:r>
    </w:p>
    <w:p w:rsidR="00F47ABB" w:rsidRPr="00F47ABB" w:rsidRDefault="00F47ABB" w:rsidP="00F47AB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7ABB">
        <w:rPr>
          <w:rFonts w:eastAsia="Times New Roman" w:cstheme="minorHAnsi"/>
          <w:sz w:val="24"/>
          <w:szCs w:val="24"/>
          <w:lang w:eastAsia="hu-HU"/>
        </w:rPr>
        <w:br/>
        <w:t>ELTE Büntető Eljárásjogi és Büntetés-végrehajtási Jogi Tanszék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Oktató: Dr. Koósné dr. Mohácsi Barbara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Tárgyfelvevők: joghallgatók</w:t>
      </w:r>
    </w:p>
    <w:p w:rsidR="00F47ABB" w:rsidRPr="00F47ABB" w:rsidRDefault="00F47ABB" w:rsidP="00F47AB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7ABB">
        <w:rPr>
          <w:rFonts w:eastAsia="Times New Roman" w:cstheme="minorHAnsi"/>
          <w:sz w:val="24"/>
          <w:szCs w:val="24"/>
          <w:lang w:eastAsia="hu-HU"/>
        </w:rPr>
        <w:br/>
        <w:t>Számonkérés formája és gyakorisága: egy fiktív alkotmányjogi panasz lehetséges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megoldásának kidolgozása egy rövid esszé formájában.</w:t>
      </w:r>
    </w:p>
    <w:p w:rsidR="00F47ABB" w:rsidRPr="00F47ABB" w:rsidRDefault="00F47ABB" w:rsidP="00F47AB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0" w:name="_GoBack"/>
      <w:bookmarkEnd w:id="0"/>
      <w:r w:rsidRPr="00F47ABB">
        <w:rPr>
          <w:rFonts w:eastAsia="Times New Roman" w:cstheme="minorHAnsi"/>
          <w:sz w:val="24"/>
          <w:szCs w:val="24"/>
          <w:lang w:eastAsia="hu-HU"/>
        </w:rPr>
        <w:br/>
        <w:t>Kurzusleírás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A kurzus célja a büntetőeljárásban érvényesülő alkotmányos alapjogok működésének a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bemutatása jogeseteken keresztül. Az óra keretében bírósági ítéletek ellen benyújtott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alkotmányjogi panaszok elemzésére kerül sor, amelyeken keresztül a hallgatók konkrét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jogeseteket elemezhetnek, és láthatják, hogyan érvényesülnek, vagy épp nem érvényesülnek a gyakorlatban a büntetőeljárási alapelvek. A konkrét esetek vizsgálatával illusztrálni lehet a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jogalkalmazás „erejét”, hogyan lehet egy „jó” jogszabályt rosszul alkalmazni, vagy egy „nem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jól sikerült” jogszabályt jól alkalmazni; hol húzódik a határ a jogalkotás és a jogalkalmazás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között, meddig terjedhet a bírói jogértelmezés. Az alapjogok közül elsősorban a tisztességes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eljáráshoz való joggal kapcsolatos ügyek vizsgálatára kerül sor, amelynek keretében a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független, pártatlan bíróság, a védelemhez való jog, a fegyveregyenlőség, jogorvoslathoz való jog részletes elemzése történik meg. Az esetek és a hozzájuk kapcsolódó alapjogok vizsgálatán keresztül érintőlegesen a büntetőeljárási jog kapcsolódó, fontosabb elméleti kérdéseiről is esik szó.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</w:r>
    </w:p>
    <w:p w:rsidR="00F47ABB" w:rsidRPr="00F47ABB" w:rsidRDefault="00F47ABB" w:rsidP="00F47AB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F47ABB" w:rsidRPr="00F47ABB" w:rsidRDefault="00F47ABB" w:rsidP="00F47AB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7ABB">
        <w:rPr>
          <w:rFonts w:eastAsia="Times New Roman" w:cstheme="minorHAnsi"/>
          <w:sz w:val="24"/>
          <w:szCs w:val="24"/>
          <w:lang w:eastAsia="hu-HU"/>
        </w:rPr>
        <w:t>Tematika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1. Bevezető óra, a tárgyalandó témák, a vizsgálati módszer ismertetése. Rövid bevezető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az alkotmányjogi panasz típusairól, működéséről, milyen megoldásokat adhat az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Alkotmánybíróság a büntetőüggyel összefüggésben benyújtott alkotmányjogi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panaszokban.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2. A független és pártatlan bírósághoz való jog 1.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3. A független és pártatlan bírósághoz való jog 2.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4. A(z előzetes) letartóztatással összefüggő alapjogi problémák 1.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5. A(z előzetes) letartóztatással összefüggő alapjogi problémák 2.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6. Bizonyítás a büntetőeljárásban, a fegyveregyenlőség elvének a sérelme a vád és a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védelem bizonyításával kapcsolatosan 1.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7. Bizonyítás a büntetőeljárásban, a fegyveregyenlőség elvének a sérelme a vád és a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védelem bizonyításával kapcsolatosan 2.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8. A tisztességes eljáráshoz való jog és a vád „törvényessége”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9. Védelemhez való jog, anyanyelvhasználat büntetőügyekben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10. A jogorvoslathoz való jog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11. A fogvatartással kapcsolatos kártalanítás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12. Konzultáció, a számonkérés eredményének ismertetése</w:t>
      </w:r>
    </w:p>
    <w:p w:rsidR="00263B10" w:rsidRPr="00F47ABB" w:rsidRDefault="00F47ABB" w:rsidP="00F47ABB">
      <w:pPr>
        <w:rPr>
          <w:rFonts w:cstheme="minorHAnsi"/>
        </w:rPr>
      </w:pPr>
      <w:r w:rsidRPr="00F47ABB">
        <w:rPr>
          <w:rFonts w:eastAsia="Times New Roman" w:cstheme="minorHAnsi"/>
          <w:sz w:val="24"/>
          <w:szCs w:val="24"/>
          <w:lang w:eastAsia="hu-HU"/>
        </w:rPr>
        <w:lastRenderedPageBreak/>
        <w:br/>
        <w:t>Kötelező és ajánlott irodalom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Bárd Károly: „Kit illet a tisztességes eljárás” in: Györgyi Kálmán ünnepi kötet, KJK-Kerszöv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Jogi és Üzleti Kiadó Kft., Budapest, 2004, 31-51.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Dobrocsi Szilvia: „A tisztességes eljárás elve mint a büntetőeljárás egyik alapvető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követelménye.” Collega, 2005. április. 122.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Farkas Henrietta: „A tisztességes eljárás főbb részjogosítványainak érvényesülése a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büntetőperben”, Büntetőjogi Szemle 2014/1. 18.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Koósné Mohácsi Barbara: „A tisztességes eljáráshoz való jog érvényesülése büntetőügyekben.”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Magyar Jog, 2016, 12. szám, 731.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Nagy Anita: „Az emberi jogok és a büntetőeljárás kapcsolata I.” Sectio Juridica et Politica,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Miskolc, Tomus XXVIII. (2010). 341.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Nagy Anita: „Az emberi jogok és a büntetőeljárás kapcsolata II.” Publicationes Universitatis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Miskolcinensis Sectio Juridica et Politica, Tomus XXXIII (2015) 224.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Nagy Anita: A tisztességes eljáráshoz való jog az Emberi Jogok Európai Bírósága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Magyarországgal kapcsolatos gyakorlatában, különös tekintettel az ésszerű határidő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követelményére Debreceni Jogi Műhely, 2011. évi (VIII. évfolyam) 3. szám (2011. július) 31-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41.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Tóth Mihály: A magyar büntetőeljárás az Alkotmánybíróság és az európai emberi jogi ítélkezés</w:t>
      </w:r>
      <w:r w:rsidRPr="00F47ABB">
        <w:rPr>
          <w:rFonts w:eastAsia="Times New Roman" w:cstheme="minorHAnsi"/>
          <w:sz w:val="24"/>
          <w:szCs w:val="24"/>
          <w:lang w:eastAsia="hu-HU"/>
        </w:rPr>
        <w:br/>
        <w:t>tükrében. KJK-Kerszöv Jogi és Üzleti Kiadó Kft., Budapest,2001</w:t>
      </w:r>
    </w:p>
    <w:sectPr w:rsidR="00263B10" w:rsidRPr="00F4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BB"/>
    <w:rsid w:val="00263B10"/>
    <w:rsid w:val="00F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EBF2"/>
  <w15:chartTrackingRefBased/>
  <w15:docId w15:val="{7EDE9292-27EF-44F4-AF42-67B33276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F4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3266</Characters>
  <Application>Microsoft Office Word</Application>
  <DocSecurity>0</DocSecurity>
  <Lines>27</Lines>
  <Paragraphs>7</Paragraphs>
  <ScaleCrop>false</ScaleCrop>
  <Company>ELTE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2023-02-21T12:32:00Z</dcterms:created>
  <dcterms:modified xsi:type="dcterms:W3CDTF">2023-02-21T12:37:00Z</dcterms:modified>
</cp:coreProperties>
</file>