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AC" w:rsidRDefault="003045AC" w:rsidP="0030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45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Büntető igazságszolgáltatás európai modellje</w:t>
      </w:r>
      <w:r w:rsidRPr="003045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</w:p>
    <w:p w:rsidR="003045AC" w:rsidRDefault="003045AC" w:rsidP="0030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3045AC">
        <w:rPr>
          <w:rFonts w:ascii="Times New Roman" w:eastAsia="Times New Roman" w:hAnsi="Times New Roman" w:cs="Times New Roman"/>
          <w:sz w:val="24"/>
          <w:szCs w:val="24"/>
          <w:lang w:eastAsia="hu-HU"/>
        </w:rPr>
        <w:t>Nappali tagozat</w:t>
      </w:r>
    </w:p>
    <w:p w:rsidR="003045AC" w:rsidRDefault="003045AC" w:rsidP="0030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2022-2023. tavaszi</w:t>
      </w:r>
      <w:r w:rsidRPr="003045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szemeszter</w:t>
      </w:r>
      <w:r w:rsidRPr="003045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ELTE Büntető Eljárásjogi és Büntetés-végrehajtási Jogi Tanszék</w:t>
      </w:r>
    </w:p>
    <w:p w:rsidR="003045AC" w:rsidRDefault="003045AC" w:rsidP="0030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45AC" w:rsidRDefault="003045AC" w:rsidP="0030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45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Oktató: Dr. Holé Katalin</w:t>
      </w:r>
      <w:r w:rsidRPr="003045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Tárgyfelvevők: joghallgatók</w:t>
      </w:r>
      <w:r w:rsidRPr="003045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Számonkérés formája és gyakorisága: írásbeli beszámoló a kurzus folyamán és végén</w:t>
      </w:r>
      <w:r w:rsidRPr="003045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3045AC" w:rsidRDefault="003045AC" w:rsidP="0030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45AC">
        <w:rPr>
          <w:rFonts w:ascii="Times New Roman" w:eastAsia="Times New Roman" w:hAnsi="Times New Roman" w:cs="Times New Roman"/>
          <w:sz w:val="24"/>
          <w:szCs w:val="24"/>
          <w:lang w:eastAsia="hu-HU"/>
        </w:rPr>
        <w:t>Kurzusleírás:</w:t>
      </w:r>
      <w:r w:rsidRPr="003045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kurzus célja, hogy megismertesse a hallgatókkal az európai integráció büntető</w:t>
      </w:r>
      <w:r w:rsidRPr="003045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igazságszolgáltatását érintő intézményeit, előírásait.</w:t>
      </w:r>
      <w:r w:rsidRPr="003045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3045AC" w:rsidRDefault="003045AC" w:rsidP="0030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45AC">
        <w:rPr>
          <w:rFonts w:ascii="Times New Roman" w:eastAsia="Times New Roman" w:hAnsi="Times New Roman" w:cs="Times New Roman"/>
          <w:sz w:val="24"/>
          <w:szCs w:val="24"/>
          <w:lang w:eastAsia="hu-HU"/>
        </w:rPr>
        <w:t>Kurzustematika:</w:t>
      </w:r>
      <w:r w:rsidRPr="003045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1. Az Európa Tanács es az EU büntetőjogi instrumentumai I.</w:t>
      </w:r>
      <w:r w:rsidRPr="003045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2. Az Európa Tanács es az EU büntetőjogi instrumentumai II.</w:t>
      </w:r>
      <w:r w:rsidRPr="003045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3. Az Emberi Jogok Európai Egyezményének felépítése,</w:t>
      </w:r>
      <w:r w:rsidRPr="003045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szabályozott jogok és a Bírósághoz fordulás feltételei.</w:t>
      </w:r>
      <w:r w:rsidRPr="003045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4. Az élethez való jog.</w:t>
      </w:r>
      <w:r w:rsidRPr="003045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5. A kínzó és megalázó bánásmód tilalma.</w:t>
      </w:r>
      <w:r w:rsidRPr="003045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6. A személyi szabadsághoz és biztonsághoz való jog.</w:t>
      </w:r>
      <w:r w:rsidRPr="003045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7.A fair eljárás I.</w:t>
      </w:r>
      <w:r w:rsidRPr="003045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8. A fair eljárás II.</w:t>
      </w:r>
      <w:r w:rsidRPr="003045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9. A nullum crimen sine lege elve.</w:t>
      </w:r>
      <w:r w:rsidRPr="003045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10. Az európai bűnügyi együttműködés rendszere I.</w:t>
      </w:r>
      <w:r w:rsidRPr="003045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11. Az európai bűnügyi együttműködés rendszere II.</w:t>
      </w:r>
      <w:r w:rsidRPr="003045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12. Az EU és az ET kapcsolat, áttekintés.</w:t>
      </w:r>
      <w:r w:rsidRPr="003045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3045AC" w:rsidRDefault="003045AC" w:rsidP="0030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45AC">
        <w:rPr>
          <w:rFonts w:ascii="Times New Roman" w:eastAsia="Times New Roman" w:hAnsi="Times New Roman" w:cs="Times New Roman"/>
          <w:sz w:val="24"/>
          <w:szCs w:val="24"/>
          <w:lang w:eastAsia="hu-HU"/>
        </w:rPr>
        <w:t>Előzetes ismeretek: Büntető eljárásjog tárgy abszolválása.</w:t>
      </w:r>
      <w:r w:rsidRPr="003045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3045AC" w:rsidRPr="003045AC" w:rsidRDefault="003045AC" w:rsidP="0030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45AC">
        <w:rPr>
          <w:rFonts w:ascii="Times New Roman" w:eastAsia="Times New Roman" w:hAnsi="Times New Roman" w:cs="Times New Roman"/>
          <w:sz w:val="24"/>
          <w:szCs w:val="24"/>
          <w:lang w:eastAsia="hu-HU"/>
        </w:rPr>
        <w:t>Irodalom:</w:t>
      </w:r>
      <w:r w:rsidRPr="003045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KONDOROSI Ferenc –LIGETI Katalin: Az európai büntetőjog kézikönyve. Magyar Közlöny-, Lap-</w:t>
      </w:r>
      <w:r w:rsidRPr="003045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és Könyvkiadó, 2009, Budapest.</w:t>
      </w:r>
      <w:r w:rsidRPr="003045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GRÁD András – WELLER Mónika: A strasbourgi emberi jogi bíráskodás kézikönyve. HVG-Orac,</w:t>
      </w:r>
      <w:r w:rsidRPr="003045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2011, Budapest.</w:t>
      </w:r>
    </w:p>
    <w:p w:rsidR="000E2858" w:rsidRDefault="000E2858"/>
    <w:sectPr w:rsidR="000E2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AC"/>
    <w:rsid w:val="000E2858"/>
    <w:rsid w:val="0030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54F6"/>
  <w15:chartTrackingRefBased/>
  <w15:docId w15:val="{8CEB7839-8CC1-4398-885F-25E36571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304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1157</Characters>
  <Application>Microsoft Office Word</Application>
  <DocSecurity>0</DocSecurity>
  <Lines>9</Lines>
  <Paragraphs>2</Paragraphs>
  <ScaleCrop>false</ScaleCrop>
  <Company>ELTE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2023-02-21T12:21:00Z</dcterms:created>
  <dcterms:modified xsi:type="dcterms:W3CDTF">2023-02-21T12:24:00Z</dcterms:modified>
</cp:coreProperties>
</file>