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71FA7" w14:textId="77777777" w:rsidR="00365AC4" w:rsidRPr="00B2294E" w:rsidRDefault="00365AC4" w:rsidP="00365AC4">
      <w:pPr>
        <w:jc w:val="center"/>
        <w:rPr>
          <w:rFonts w:ascii="Garamond" w:hAnsi="Garamond"/>
          <w:b/>
          <w:sz w:val="32"/>
          <w:szCs w:val="32"/>
        </w:rPr>
      </w:pPr>
      <w:r w:rsidRPr="00B2294E">
        <w:rPr>
          <w:rFonts w:ascii="Garamond" w:hAnsi="Garamond"/>
          <w:b/>
          <w:sz w:val="32"/>
          <w:szCs w:val="32"/>
        </w:rPr>
        <w:t xml:space="preserve">Tantárgyi tematika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6353"/>
      </w:tblGrid>
      <w:tr w:rsidR="00365AC4" w:rsidRPr="001B08BC" w14:paraId="4C114E4C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3258" w14:textId="77777777" w:rsidR="00365AC4" w:rsidRPr="005E6A58" w:rsidRDefault="00365AC4" w:rsidP="001B08BC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>Tantárgy neve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2A4C" w14:textId="6565C499" w:rsidR="00365AC4" w:rsidRPr="005E6A58" w:rsidRDefault="00EC19F8" w:rsidP="0004254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5E6A58">
              <w:rPr>
                <w:rFonts w:ascii="Garamond" w:hAnsi="Garamond"/>
                <w:sz w:val="24"/>
                <w:szCs w:val="24"/>
              </w:rPr>
              <w:t xml:space="preserve">Polgári jog </w:t>
            </w:r>
            <w:r w:rsidR="00042548" w:rsidRPr="005E6A58">
              <w:rPr>
                <w:rFonts w:ascii="Garamond" w:hAnsi="Garamond"/>
                <w:sz w:val="24"/>
                <w:szCs w:val="24"/>
              </w:rPr>
              <w:t>6</w:t>
            </w:r>
            <w:r w:rsidRPr="005E6A58">
              <w:rPr>
                <w:rFonts w:ascii="Garamond" w:hAnsi="Garamond"/>
                <w:sz w:val="24"/>
                <w:szCs w:val="24"/>
              </w:rPr>
              <w:t>. (</w:t>
            </w:r>
            <w:r w:rsidR="00042548" w:rsidRPr="005E6A58">
              <w:rPr>
                <w:rFonts w:ascii="Garamond" w:hAnsi="Garamond"/>
                <w:sz w:val="24"/>
                <w:szCs w:val="24"/>
              </w:rPr>
              <w:t>Társasági jog</w:t>
            </w:r>
            <w:r w:rsidRPr="005E6A58">
              <w:rPr>
                <w:rFonts w:ascii="Garamond" w:hAnsi="Garamond"/>
                <w:sz w:val="24"/>
                <w:szCs w:val="24"/>
              </w:rPr>
              <w:t>)</w:t>
            </w:r>
            <w:r w:rsidR="002B4534">
              <w:rPr>
                <w:rFonts w:ascii="Garamond" w:hAnsi="Garamond"/>
                <w:sz w:val="24"/>
                <w:szCs w:val="24"/>
              </w:rPr>
              <w:t xml:space="preserve"> szeminárium</w:t>
            </w:r>
          </w:p>
        </w:tc>
      </w:tr>
      <w:tr w:rsidR="00365AC4" w:rsidRPr="001B08BC" w14:paraId="7A520BD4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8549" w14:textId="77777777" w:rsidR="00365AC4" w:rsidRPr="005E6A58" w:rsidRDefault="00365AC4" w:rsidP="001B08BC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Tantárgyfelelős: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2CE4" w14:textId="77777777" w:rsidR="00365AC4" w:rsidRPr="005E6A58" w:rsidRDefault="005E6A58" w:rsidP="001B08B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5E6A58">
              <w:rPr>
                <w:rFonts w:ascii="Garamond" w:hAnsi="Garamond"/>
                <w:sz w:val="24"/>
                <w:szCs w:val="24"/>
              </w:rPr>
              <w:t xml:space="preserve">Dr. </w:t>
            </w:r>
            <w:r w:rsidR="00B84669">
              <w:rPr>
                <w:rFonts w:ascii="Garamond" w:hAnsi="Garamond"/>
                <w:sz w:val="24"/>
                <w:szCs w:val="24"/>
              </w:rPr>
              <w:t xml:space="preserve">Gárdos Péter </w:t>
            </w:r>
            <w:r w:rsidR="00F13473">
              <w:rPr>
                <w:rFonts w:ascii="Garamond" w:hAnsi="Garamond"/>
                <w:sz w:val="24"/>
                <w:szCs w:val="24"/>
              </w:rPr>
              <w:t>habilitált egyetemi docens</w:t>
            </w:r>
          </w:p>
        </w:tc>
      </w:tr>
      <w:tr w:rsidR="00365AC4" w:rsidRPr="001B08BC" w14:paraId="46AB6506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BE86" w14:textId="77777777" w:rsidR="00365AC4" w:rsidRPr="005E6A58" w:rsidRDefault="00365AC4" w:rsidP="001B08BC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Számonkérési forma: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F3EB" w14:textId="53260CD3" w:rsidR="00365AC4" w:rsidRPr="005E6A58" w:rsidRDefault="002B4534" w:rsidP="005E6A5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Beszámoló</w:t>
            </w:r>
          </w:p>
        </w:tc>
      </w:tr>
      <w:tr w:rsidR="00B84669" w:rsidRPr="001B08BC" w14:paraId="6DF165BE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8949" w14:textId="77777777" w:rsidR="00B84669" w:rsidRPr="006B6474" w:rsidRDefault="00B84669" w:rsidP="00B84669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Az oktatás célja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A6BD" w14:textId="77777777" w:rsidR="00B84669" w:rsidRPr="006B6474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 tantárgy oktatásának célja, hogy a hallgatók átfogó képet kapjanak a gazdaság működésének szervezeti kereteket adó társasági formák jogi szabályozásának elvi problémáiról, a társasági viszonyokban felmerülő érdekkonfliktusokról, ezek megoldási lehetőségeiről, s így képessé váljanak a tételes jogi szabályok értő elsajátítására és a gyakorlatban felmerülő jogviták helyes megítélésére. </w:t>
            </w:r>
          </w:p>
        </w:tc>
      </w:tr>
      <w:tr w:rsidR="00B84669" w:rsidRPr="001B08BC" w14:paraId="0988B7CF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15FE" w14:textId="77777777" w:rsidR="00B84669" w:rsidRDefault="00B84669" w:rsidP="00B84669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 tantárgy tartalma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A7BD" w14:textId="77777777" w:rsid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 tantárgy a társasági jog elméleti kérdésein túl a polgári jogi társaságok, a gazdasági társaságok, egyesülések és a szövetkezetek joganyagát (beleértve a jogi személyek általános szabályait is), a részvénytársaságokhoz kapcsolódóan az értékpapírjogi és tőkepiaci szabályozás anyagát, a cégjogi szabályozás társasági jogi szempontból releváns anyagi jogi részeit öleli fel.</w:t>
            </w:r>
          </w:p>
        </w:tc>
      </w:tr>
      <w:tr w:rsidR="00D7106B" w:rsidRPr="001B08BC" w14:paraId="6B865F9D" w14:textId="77777777" w:rsidTr="001B08B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31E1" w14:textId="77777777" w:rsidR="00D7106B" w:rsidRPr="005E6A58" w:rsidRDefault="00D7106B" w:rsidP="001B08BC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Előadások tematikája: </w:t>
            </w:r>
          </w:p>
        </w:tc>
      </w:tr>
      <w:tr w:rsidR="00D7106B" w:rsidRPr="001B08BC" w14:paraId="02152599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079E" w14:textId="77777777" w:rsidR="00D7106B" w:rsidRPr="005E6A58" w:rsidRDefault="00D7106B" w:rsidP="001B08BC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hét: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FC5B" w14:textId="77777777" w:rsidR="00D7106B" w:rsidRPr="005E6A58" w:rsidRDefault="00B84669" w:rsidP="005E6A5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Miről szól a társasági jog? A </w:t>
            </w:r>
            <w:r w:rsidRPr="006B6474">
              <w:rPr>
                <w:rFonts w:ascii="Garamond" w:hAnsi="Garamond"/>
              </w:rPr>
              <w:t>társaságok kialakulásának gazdasági és történelmi háttere.</w:t>
            </w:r>
          </w:p>
        </w:tc>
      </w:tr>
      <w:tr w:rsidR="00D7106B" w:rsidRPr="001B08BC" w14:paraId="5C482CBF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1FB3" w14:textId="77777777" w:rsidR="00D7106B" w:rsidRPr="005E6A58" w:rsidRDefault="00D7106B" w:rsidP="001B08BC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hét: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C397" w14:textId="77777777" w:rsidR="00D7106B" w:rsidRPr="005E6A58" w:rsidRDefault="00B84669" w:rsidP="005E6A5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 társasági jog szabályozásának módszere.</w:t>
            </w:r>
            <w:r>
              <w:t xml:space="preserve"> </w:t>
            </w:r>
            <w:r w:rsidRPr="00B84669">
              <w:rPr>
                <w:rFonts w:ascii="Garamond" w:hAnsi="Garamond"/>
                <w:sz w:val="24"/>
                <w:szCs w:val="24"/>
              </w:rPr>
              <w:t>A társaságok fogalmi ismérvei és az egyes társaságok elhatárolása.</w:t>
            </w:r>
          </w:p>
        </w:tc>
      </w:tr>
      <w:tr w:rsidR="00D7106B" w:rsidRPr="001B08BC" w14:paraId="70A5E5D1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9478" w14:textId="77777777" w:rsidR="00D7106B" w:rsidRPr="005E6A58" w:rsidRDefault="00D7106B" w:rsidP="001B08BC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hét: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ADD0" w14:textId="77777777" w:rsidR="00D7106B" w:rsidRPr="005E6A58" w:rsidRDefault="00B84669" w:rsidP="005E6A5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Értékpapírjogi áttekintés; a részvényre vonatkozó szabályozás. A társaságok alapítása; cégbejegyzés.</w:t>
            </w:r>
          </w:p>
        </w:tc>
      </w:tr>
      <w:tr w:rsidR="00D7106B" w:rsidRPr="001B08BC" w14:paraId="0895EF8F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7A4A" w14:textId="77777777" w:rsidR="00D7106B" w:rsidRPr="005E6A58" w:rsidRDefault="00D7106B" w:rsidP="001B08BC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hét: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29FF" w14:textId="77777777" w:rsidR="00D7106B" w:rsidRPr="005E6A58" w:rsidRDefault="00B84669" w:rsidP="005E6A5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A vagyoni hozzájárulásra vonatkozó szabályozás.</w:t>
            </w:r>
            <w:r>
              <w:t xml:space="preserve"> </w:t>
            </w:r>
            <w:r w:rsidRPr="00B84669">
              <w:rPr>
                <w:rFonts w:ascii="Garamond" w:hAnsi="Garamond"/>
                <w:sz w:val="24"/>
                <w:szCs w:val="24"/>
              </w:rPr>
              <w:t>A tagsági jogviszony; a tagokat megillető jogok és kötelezettségek.</w:t>
            </w:r>
          </w:p>
        </w:tc>
      </w:tr>
      <w:tr w:rsidR="00D7106B" w:rsidRPr="001B08BC" w14:paraId="2FE3971E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0535" w14:textId="77777777" w:rsidR="00D7106B" w:rsidRPr="005E6A58" w:rsidRDefault="00D7106B" w:rsidP="001B08BC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hét: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AE4D" w14:textId="77777777" w:rsidR="00D7106B" w:rsidRPr="005E6A58" w:rsidRDefault="00B84669" w:rsidP="005E6A5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Hitelezővédelem és kisebbségvédelem a társasági jogban.</w:t>
            </w:r>
            <w:r>
              <w:t xml:space="preserve"> </w:t>
            </w:r>
            <w:r w:rsidRPr="00B84669">
              <w:rPr>
                <w:rFonts w:ascii="Garamond" w:hAnsi="Garamond"/>
              </w:rPr>
              <w:t>A társaságok szervezete és működése.</w:t>
            </w:r>
          </w:p>
        </w:tc>
      </w:tr>
      <w:tr w:rsidR="00D7106B" w:rsidRPr="001B08BC" w14:paraId="257E755D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16E4" w14:textId="77777777" w:rsidR="00D7106B" w:rsidRPr="005E6A58" w:rsidRDefault="00D7106B" w:rsidP="001B08BC">
            <w:pPr>
              <w:pStyle w:val="Listaszerbekezds"/>
              <w:numPr>
                <w:ilvl w:val="0"/>
                <w:numId w:val="1"/>
              </w:numPr>
              <w:tabs>
                <w:tab w:val="left" w:pos="506"/>
              </w:tabs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hét: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FD1F" w14:textId="77777777" w:rsidR="00D7106B" w:rsidRPr="005E6A58" w:rsidRDefault="00B84669" w:rsidP="005E6A5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A társaságok törvényes működésének biztosítékai.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B84669">
              <w:rPr>
                <w:rFonts w:ascii="Garamond" w:hAnsi="Garamond"/>
                <w:sz w:val="24"/>
                <w:szCs w:val="24"/>
              </w:rPr>
              <w:t>A nyilvános részvénytársaság működéséből fakadó kockázatokra adott válaszok: forgalomba hozatal, nyilvános vételi ajánlat, bennfentes információk.</w:t>
            </w:r>
          </w:p>
        </w:tc>
      </w:tr>
      <w:tr w:rsidR="00D7106B" w:rsidRPr="001B08BC" w14:paraId="202B0826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4839" w14:textId="77777777" w:rsidR="00D7106B" w:rsidRPr="005E6A58" w:rsidRDefault="00D7106B" w:rsidP="001B08BC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hét: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B1F0" w14:textId="77777777" w:rsidR="00D7106B" w:rsidRPr="00A941B6" w:rsidRDefault="00B84669" w:rsidP="005E6A58">
            <w:pPr>
              <w:pStyle w:val="Cmsor7"/>
              <w:spacing w:before="0" w:after="0"/>
              <w:rPr>
                <w:rFonts w:ascii="Garamond" w:hAnsi="Garamond"/>
                <w:lang w:val="hu-HU" w:eastAsia="en-US"/>
              </w:rPr>
            </w:pPr>
            <w:r>
              <w:rPr>
                <w:rFonts w:ascii="Garamond" w:hAnsi="Garamond"/>
              </w:rPr>
              <w:t>A társaságok átalakulása és megszűnése.</w:t>
            </w:r>
          </w:p>
        </w:tc>
      </w:tr>
      <w:tr w:rsidR="00D7106B" w:rsidRPr="001B08BC" w14:paraId="7733CE87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69FB" w14:textId="77777777" w:rsidR="00D7106B" w:rsidRPr="005E6A58" w:rsidRDefault="00D7106B" w:rsidP="001B08BC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 xml:space="preserve">Tananyag: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834C" w14:textId="77777777" w:rsidR="00D7106B" w:rsidRPr="005E6A58" w:rsidRDefault="00B84669" w:rsidP="00412D8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6B6474">
              <w:rPr>
                <w:rFonts w:ascii="Garamond" w:hAnsi="Garamond"/>
                <w:sz w:val="24"/>
                <w:szCs w:val="24"/>
              </w:rPr>
              <w:t xml:space="preserve">A Polgári jog </w:t>
            </w:r>
            <w:r w:rsidR="00412D83">
              <w:rPr>
                <w:rFonts w:ascii="Garamond" w:hAnsi="Garamond"/>
                <w:sz w:val="24"/>
                <w:szCs w:val="24"/>
              </w:rPr>
              <w:t>6</w:t>
            </w:r>
            <w:r w:rsidRPr="006B6474">
              <w:rPr>
                <w:rFonts w:ascii="Garamond" w:hAnsi="Garamond"/>
                <w:sz w:val="24"/>
                <w:szCs w:val="24"/>
              </w:rPr>
              <w:t xml:space="preserve">. c. kurzus tananyagát (és egyben a vizsgaanyagát) képezik az előadásokon elhangzottak teljes egészükben, </w:t>
            </w:r>
            <w:r>
              <w:rPr>
                <w:rFonts w:ascii="Garamond" w:hAnsi="Garamond"/>
                <w:sz w:val="24"/>
                <w:szCs w:val="24"/>
              </w:rPr>
              <w:t xml:space="preserve">az előadáson használt diasor tartalma, </w:t>
            </w:r>
            <w:r w:rsidRPr="006B6474">
              <w:rPr>
                <w:rFonts w:ascii="Garamond" w:hAnsi="Garamond"/>
                <w:sz w:val="24"/>
                <w:szCs w:val="24"/>
              </w:rPr>
              <w:t xml:space="preserve">továbbá a kötelező </w:t>
            </w:r>
            <w:r>
              <w:rPr>
                <w:rFonts w:ascii="Garamond" w:hAnsi="Garamond"/>
                <w:sz w:val="24"/>
                <w:szCs w:val="24"/>
              </w:rPr>
              <w:t>irodalom</w:t>
            </w:r>
            <w:r w:rsidRPr="006B6474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  <w:tr w:rsidR="00D7106B" w:rsidRPr="001B08BC" w14:paraId="79756E54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FBAB" w14:textId="77777777" w:rsidR="00D7106B" w:rsidRPr="005E6A58" w:rsidRDefault="00D7106B" w:rsidP="001B08BC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t>Kötelező és ajánlott irodalom: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94E1" w14:textId="77777777" w:rsidR="00B84669" w:rsidRDefault="00B84669" w:rsidP="00B84669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B84669">
              <w:rPr>
                <w:rFonts w:ascii="Garamond" w:hAnsi="Garamond"/>
                <w:b/>
                <w:sz w:val="24"/>
                <w:szCs w:val="24"/>
              </w:rPr>
              <w:t xml:space="preserve">Kötelező irodalom: </w:t>
            </w:r>
          </w:p>
          <w:p w14:paraId="226959B3" w14:textId="77777777" w:rsidR="00D558AC" w:rsidRDefault="00D558AC" w:rsidP="00B84669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</w:p>
          <w:p w14:paraId="3EA2F953" w14:textId="77777777" w:rsidR="00D558AC" w:rsidRDefault="00D558AC" w:rsidP="00B84669">
            <w:pPr>
              <w:spacing w:after="0" w:line="240" w:lineRule="auto"/>
              <w:rPr>
                <w:rFonts w:ascii="Garamond" w:hAnsi="Garamond"/>
                <w:bCs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bCs/>
                <w:i/>
                <w:iCs/>
                <w:sz w:val="24"/>
                <w:szCs w:val="24"/>
              </w:rPr>
              <w:t>Tankönyv:</w:t>
            </w:r>
          </w:p>
          <w:p w14:paraId="0D43C211" w14:textId="77777777" w:rsidR="00D558AC" w:rsidRPr="00D558AC" w:rsidRDefault="00D558AC" w:rsidP="00B8466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- </w:t>
            </w:r>
            <w:r w:rsidRPr="00D558AC">
              <w:rPr>
                <w:rFonts w:ascii="Garamond" w:hAnsi="Garamond"/>
                <w:bCs/>
                <w:sz w:val="24"/>
                <w:szCs w:val="24"/>
              </w:rPr>
              <w:t>Gárdos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Péter: Társasági jog (ORAC, 2026, Budapest, megjelenés alatt)</w:t>
            </w:r>
          </w:p>
          <w:p w14:paraId="7B78C2A4" w14:textId="77777777" w:rsidR="00D558AC" w:rsidRDefault="00D558AC" w:rsidP="00B84669">
            <w:pPr>
              <w:spacing w:after="0" w:line="240" w:lineRule="auto"/>
              <w:rPr>
                <w:rFonts w:ascii="Garamond" w:hAnsi="Garamond"/>
                <w:bCs/>
                <w:i/>
                <w:iCs/>
                <w:sz w:val="24"/>
                <w:szCs w:val="24"/>
              </w:rPr>
            </w:pPr>
          </w:p>
          <w:p w14:paraId="62CFFDD2" w14:textId="77777777" w:rsidR="00D558AC" w:rsidRPr="00D558AC" w:rsidRDefault="00D558AC" w:rsidP="00B84669">
            <w:pPr>
              <w:spacing w:after="0" w:line="240" w:lineRule="auto"/>
              <w:rPr>
                <w:rFonts w:ascii="Garamond" w:hAnsi="Garamond"/>
                <w:bCs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bCs/>
                <w:i/>
                <w:iCs/>
                <w:sz w:val="24"/>
                <w:szCs w:val="24"/>
              </w:rPr>
              <w:t>Jogszabályok:</w:t>
            </w:r>
          </w:p>
          <w:p w14:paraId="60493F06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 Ptk. 3:1–3:62. §, 3:88–3:377. §</w:t>
            </w:r>
          </w:p>
          <w:p w14:paraId="7503ABEF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 Ptk. 6:498–6:517. §</w:t>
            </w:r>
          </w:p>
          <w:p w14:paraId="28E7D91A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 Ptk. 6:565–6:578. §</w:t>
            </w:r>
          </w:p>
          <w:p w14:paraId="618075DD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 a Ptk.-nak azok a kötelmi jogi rendelkezései, amelyek a társasági jogban is alkalmazhatóak – különösen a felelősségi szabályok</w:t>
            </w:r>
          </w:p>
          <w:p w14:paraId="18367AB3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 az új Ptk. Első és Nyolcadik Könyvének a társasági jogban érvényesülő szabályai</w:t>
            </w:r>
          </w:p>
          <w:p w14:paraId="7D0DEF94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 xml:space="preserve">- a tőkepiacról szóló 2001. évi CXX. törvénynek a részvényekre, </w:t>
            </w:r>
            <w:r w:rsidRPr="00B84669">
              <w:rPr>
                <w:rFonts w:ascii="Garamond" w:hAnsi="Garamond"/>
                <w:sz w:val="24"/>
                <w:szCs w:val="24"/>
              </w:rPr>
              <w:lastRenderedPageBreak/>
              <w:t>részvénytársaságokra vonatkozó szabályai – különösen a részvények forgalomba hozatalára, a dematerializált részvényekre, a részvényesi meghatalmazottra, a tájékoztatási kötelezettségre és a nyilvánosan működő részvénytársaságok részvényeinek felvásárlására vonatkozó szabályok,</w:t>
            </w:r>
          </w:p>
          <w:p w14:paraId="1AACF6B5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 a részvénytársasági részvénykönyv vezetésével összefüggő egyes kérdésekről szóló 67/2014. (III. 13.) Korm. rendelet</w:t>
            </w:r>
          </w:p>
          <w:p w14:paraId="78812DA1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 az egyes jogi személyek átalakulásáról, egyesüléséről, szétválásáról szóló 2013. évi CLXXVI törvény</w:t>
            </w:r>
          </w:p>
          <w:p w14:paraId="0EC07C51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 a cégnyilvánosságról, a bírósági cégeljárásról és a végelszámolásról szóló 2006. évi V. törvénynek a cégnévre, a székhelyre, telephelyre, fióktelepre, a cég képviseletére, a tagok és vezető tisztségviselők eltiltására, a nonprofit gazdasági társaságokra, a cégalapítás érvénytelenségére és a tag kizárására vonatkozó rendelkezései</w:t>
            </w:r>
          </w:p>
          <w:p w14:paraId="096DE89A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 az egyes közjegyzői nemperes eljárásokról szóló 2008. évi XLV. törvény 28–36. §</w:t>
            </w:r>
          </w:p>
          <w:p w14:paraId="5880FFC3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14:paraId="67E0AEEF" w14:textId="77777777" w:rsidR="00B84669" w:rsidRPr="00B84669" w:rsidRDefault="00B84669" w:rsidP="00B84669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B84669">
              <w:rPr>
                <w:rFonts w:ascii="Garamond" w:hAnsi="Garamond"/>
                <w:b/>
                <w:sz w:val="24"/>
                <w:szCs w:val="24"/>
              </w:rPr>
              <w:t>Ajánlott irodalom:</w:t>
            </w:r>
          </w:p>
          <w:p w14:paraId="31A3F186" w14:textId="77777777" w:rsidR="00D7106B" w:rsidRPr="005E6A58" w:rsidRDefault="00B84669" w:rsidP="00B84669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 xml:space="preserve">- Kisfaludi András: A jogi személy In Vékás Lajos–Gárdos Péter (szerk.): Nagykommentár a Polgári Törvénykönyvhöz. </w:t>
            </w:r>
            <w:proofErr w:type="spellStart"/>
            <w:r w:rsidRPr="00B84669">
              <w:rPr>
                <w:rFonts w:ascii="Garamond" w:hAnsi="Garamond"/>
                <w:sz w:val="24"/>
                <w:szCs w:val="24"/>
              </w:rPr>
              <w:t>Wolters</w:t>
            </w:r>
            <w:proofErr w:type="spellEnd"/>
            <w:r w:rsidRPr="00B84669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B84669">
              <w:rPr>
                <w:rFonts w:ascii="Garamond" w:hAnsi="Garamond"/>
                <w:sz w:val="24"/>
                <w:szCs w:val="24"/>
              </w:rPr>
              <w:t>Kluwer</w:t>
            </w:r>
            <w:proofErr w:type="spellEnd"/>
            <w:r w:rsidRPr="00B84669">
              <w:rPr>
                <w:rFonts w:ascii="Garamond" w:hAnsi="Garamond"/>
                <w:sz w:val="24"/>
                <w:szCs w:val="24"/>
              </w:rPr>
              <w:t>, Budapest, 2020.</w:t>
            </w:r>
          </w:p>
        </w:tc>
      </w:tr>
      <w:tr w:rsidR="00D7106B" w:rsidRPr="001B08BC" w14:paraId="07096C1F" w14:textId="77777777" w:rsidTr="00703C14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85C0" w14:textId="77777777" w:rsidR="00D7106B" w:rsidRPr="005E6A58" w:rsidRDefault="00D7106B" w:rsidP="001B08BC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E6A58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Vizsgakövetelmények: 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ECB1" w14:textId="77777777" w:rsidR="00B84669" w:rsidRPr="00B84669" w:rsidRDefault="00B84669" w:rsidP="00B84669">
            <w:pPr>
              <w:spacing w:after="0" w:line="240" w:lineRule="auto"/>
              <w:ind w:right="-495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 A tananyagként megjelöltek a vizsgakövetelmények részét képezik.</w:t>
            </w:r>
          </w:p>
          <w:p w14:paraId="44262941" w14:textId="77777777" w:rsidR="00D7106B" w:rsidRPr="005E6A58" w:rsidRDefault="00B84669" w:rsidP="00F1347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84669">
              <w:rPr>
                <w:rFonts w:ascii="Garamond" w:hAnsi="Garamond"/>
                <w:sz w:val="24"/>
                <w:szCs w:val="24"/>
              </w:rPr>
              <w:t>- További külön jogszabályok tartalma, nevesített §-</w:t>
            </w:r>
            <w:proofErr w:type="spellStart"/>
            <w:r w:rsidRPr="00B84669">
              <w:rPr>
                <w:rFonts w:ascii="Garamond" w:hAnsi="Garamond"/>
                <w:sz w:val="24"/>
                <w:szCs w:val="24"/>
              </w:rPr>
              <w:t>ai</w:t>
            </w:r>
            <w:proofErr w:type="spellEnd"/>
            <w:r w:rsidRPr="00B84669">
              <w:rPr>
                <w:rFonts w:ascii="Garamond" w:hAnsi="Garamond"/>
                <w:sz w:val="24"/>
                <w:szCs w:val="24"/>
              </w:rPr>
              <w:t xml:space="preserve"> és a bírói gyakorlat annyiban képezi a vizsga részét, amennyiben ezekre az előadás vagy a diasor utalt.</w:t>
            </w:r>
          </w:p>
        </w:tc>
      </w:tr>
    </w:tbl>
    <w:p w14:paraId="0F859C02" w14:textId="77777777" w:rsidR="00365AC4" w:rsidRDefault="00B60287" w:rsidP="00B60287">
      <w:pPr>
        <w:tabs>
          <w:tab w:val="left" w:pos="1171"/>
        </w:tabs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ab/>
      </w:r>
    </w:p>
    <w:p w14:paraId="13BEBBCA" w14:textId="77777777" w:rsidR="00C40C61" w:rsidRDefault="00C40C61"/>
    <w:sectPr w:rsidR="00C40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5EDAF" w14:textId="77777777" w:rsidR="00476571" w:rsidRDefault="00476571" w:rsidP="005525DE">
      <w:pPr>
        <w:spacing w:after="0" w:line="240" w:lineRule="auto"/>
      </w:pPr>
      <w:r>
        <w:separator/>
      </w:r>
    </w:p>
  </w:endnote>
  <w:endnote w:type="continuationSeparator" w:id="0">
    <w:p w14:paraId="3A74D9AD" w14:textId="77777777" w:rsidR="00476571" w:rsidRDefault="00476571" w:rsidP="0055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-Ti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6FDAA" w14:textId="77777777" w:rsidR="00476571" w:rsidRDefault="00476571" w:rsidP="005525DE">
      <w:pPr>
        <w:spacing w:after="0" w:line="240" w:lineRule="auto"/>
      </w:pPr>
      <w:r>
        <w:separator/>
      </w:r>
    </w:p>
  </w:footnote>
  <w:footnote w:type="continuationSeparator" w:id="0">
    <w:p w14:paraId="3C4C62CB" w14:textId="77777777" w:rsidR="00476571" w:rsidRDefault="00476571" w:rsidP="0055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869"/>
    <w:multiLevelType w:val="hybridMultilevel"/>
    <w:tmpl w:val="119E47B8"/>
    <w:lvl w:ilvl="0" w:tplc="B456B6A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D50959"/>
    <w:multiLevelType w:val="hybridMultilevel"/>
    <w:tmpl w:val="6ADE6806"/>
    <w:lvl w:ilvl="0" w:tplc="207ED4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B24DA"/>
    <w:multiLevelType w:val="hybridMultilevel"/>
    <w:tmpl w:val="DAFEE2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B2A0A"/>
    <w:multiLevelType w:val="hybridMultilevel"/>
    <w:tmpl w:val="C310E4D4"/>
    <w:lvl w:ilvl="0" w:tplc="273C86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C4"/>
    <w:rsid w:val="000244DC"/>
    <w:rsid w:val="0002779E"/>
    <w:rsid w:val="00031170"/>
    <w:rsid w:val="00042548"/>
    <w:rsid w:val="0006335B"/>
    <w:rsid w:val="00141745"/>
    <w:rsid w:val="0016410B"/>
    <w:rsid w:val="00167BF5"/>
    <w:rsid w:val="001B08BC"/>
    <w:rsid w:val="001B2868"/>
    <w:rsid w:val="00273DAD"/>
    <w:rsid w:val="002B4534"/>
    <w:rsid w:val="002E080B"/>
    <w:rsid w:val="002E1599"/>
    <w:rsid w:val="00306387"/>
    <w:rsid w:val="00365AC4"/>
    <w:rsid w:val="0038603A"/>
    <w:rsid w:val="003E6A20"/>
    <w:rsid w:val="00412D83"/>
    <w:rsid w:val="00476571"/>
    <w:rsid w:val="004865CD"/>
    <w:rsid w:val="004A0FD1"/>
    <w:rsid w:val="004B2320"/>
    <w:rsid w:val="005525DE"/>
    <w:rsid w:val="00564DD3"/>
    <w:rsid w:val="005773FA"/>
    <w:rsid w:val="00580FB1"/>
    <w:rsid w:val="005C4307"/>
    <w:rsid w:val="005E6A58"/>
    <w:rsid w:val="00666270"/>
    <w:rsid w:val="00686180"/>
    <w:rsid w:val="0069419B"/>
    <w:rsid w:val="00700718"/>
    <w:rsid w:val="00703C14"/>
    <w:rsid w:val="007E31A6"/>
    <w:rsid w:val="00976BC2"/>
    <w:rsid w:val="009E4410"/>
    <w:rsid w:val="00A73A33"/>
    <w:rsid w:val="00A941B6"/>
    <w:rsid w:val="00B2294E"/>
    <w:rsid w:val="00B60287"/>
    <w:rsid w:val="00B84669"/>
    <w:rsid w:val="00C10297"/>
    <w:rsid w:val="00C40C61"/>
    <w:rsid w:val="00C76759"/>
    <w:rsid w:val="00C9016F"/>
    <w:rsid w:val="00CD0EED"/>
    <w:rsid w:val="00CF27BA"/>
    <w:rsid w:val="00D27323"/>
    <w:rsid w:val="00D558AC"/>
    <w:rsid w:val="00D7106B"/>
    <w:rsid w:val="00DD40EA"/>
    <w:rsid w:val="00DD6717"/>
    <w:rsid w:val="00E44471"/>
    <w:rsid w:val="00EC19F8"/>
    <w:rsid w:val="00ED1DC9"/>
    <w:rsid w:val="00ED733D"/>
    <w:rsid w:val="00F13473"/>
    <w:rsid w:val="00FB0D7D"/>
    <w:rsid w:val="00FC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3C64DB"/>
  <w15:chartTrackingRefBased/>
  <w15:docId w15:val="{4488B708-B27F-4C48-93DC-B0BC24B6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5AC4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B2294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Cmsor7">
    <w:name w:val="heading 7"/>
    <w:basedOn w:val="Norml"/>
    <w:next w:val="Norml"/>
    <w:link w:val="Cmsor7Char"/>
    <w:unhideWhenUsed/>
    <w:qFormat/>
    <w:rsid w:val="00365AC4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x-none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7Char">
    <w:name w:val="Címsor 7 Char"/>
    <w:link w:val="Cmsor7"/>
    <w:rsid w:val="00365AC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65AC4"/>
    <w:pPr>
      <w:ind w:left="720"/>
      <w:contextualSpacing/>
    </w:pPr>
  </w:style>
  <w:style w:type="paragraph" w:customStyle="1" w:styleId="Default">
    <w:name w:val="Default"/>
    <w:rsid w:val="00365AC4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ablerowdata1">
    <w:name w:val="tablerowdata1"/>
    <w:rsid w:val="00365AC4"/>
    <w:rPr>
      <w:rFonts w:ascii="Verdana" w:hAnsi="Verdana" w:hint="default"/>
      <w:b/>
      <w:bCs/>
      <w:color w:val="4A4A4A"/>
      <w:sz w:val="8"/>
      <w:szCs w:val="8"/>
    </w:rPr>
  </w:style>
  <w:style w:type="table" w:styleId="Rcsostblzat">
    <w:name w:val="Table Grid"/>
    <w:basedOn w:val="Normltblzat"/>
    <w:uiPriority w:val="59"/>
    <w:rsid w:val="00365AC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semiHidden/>
    <w:unhideWhenUsed/>
    <w:rsid w:val="005525D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LbjegyzetszvegChar">
    <w:name w:val="Lábjegyzetszöveg Char"/>
    <w:link w:val="Lbjegyzetszveg"/>
    <w:semiHidden/>
    <w:rsid w:val="005525DE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5525DE"/>
    <w:rPr>
      <w:vertAlign w:val="superscript"/>
    </w:rPr>
  </w:style>
  <w:style w:type="character" w:customStyle="1" w:styleId="Cmsor1Char">
    <w:name w:val="Címsor 1 Char"/>
    <w:link w:val="Cmsor1"/>
    <w:uiPriority w:val="9"/>
    <w:rsid w:val="00B2294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m">
    <w:name w:val="Title"/>
    <w:basedOn w:val="Norml"/>
    <w:link w:val="CmChar"/>
    <w:qFormat/>
    <w:rsid w:val="00B2294E"/>
    <w:pPr>
      <w:spacing w:after="0" w:line="240" w:lineRule="auto"/>
      <w:jc w:val="center"/>
    </w:pPr>
    <w:rPr>
      <w:rFonts w:ascii="H-Times New Roman" w:eastAsia="Times New Roman" w:hAnsi="H-Times New Roman"/>
      <w:b/>
      <w:sz w:val="24"/>
      <w:szCs w:val="20"/>
      <w:lang w:val="en-GB" w:eastAsia="hu-HU"/>
    </w:rPr>
  </w:style>
  <w:style w:type="character" w:customStyle="1" w:styleId="CmChar">
    <w:name w:val="Cím Char"/>
    <w:link w:val="Cm"/>
    <w:rsid w:val="00B2294E"/>
    <w:rPr>
      <w:rFonts w:ascii="H-Times New Roman" w:eastAsia="Times New Roman" w:hAnsi="H-Times New Roman" w:cs="Times New Roman"/>
      <w:b/>
      <w:sz w:val="24"/>
      <w:szCs w:val="20"/>
      <w:lang w:val="en-GB" w:eastAsia="hu-HU"/>
    </w:rPr>
  </w:style>
  <w:style w:type="paragraph" w:styleId="Szvegtrzs">
    <w:name w:val="Body Text"/>
    <w:basedOn w:val="Norml"/>
    <w:link w:val="SzvegtrzsChar"/>
    <w:rsid w:val="00B2294E"/>
    <w:pPr>
      <w:spacing w:after="0" w:line="240" w:lineRule="auto"/>
      <w:jc w:val="both"/>
    </w:pPr>
    <w:rPr>
      <w:rFonts w:ascii="H-Times New Roman" w:eastAsia="Times New Roman" w:hAnsi="H-Times New Roman"/>
      <w:sz w:val="24"/>
      <w:szCs w:val="20"/>
      <w:lang w:val="en-GB" w:eastAsia="hu-HU"/>
    </w:rPr>
  </w:style>
  <w:style w:type="character" w:customStyle="1" w:styleId="SzvegtrzsChar">
    <w:name w:val="Szövegtörzs Char"/>
    <w:link w:val="Szvegtrzs"/>
    <w:rsid w:val="00B2294E"/>
    <w:rPr>
      <w:rFonts w:ascii="H-Times New Roman" w:eastAsia="Times New Roman" w:hAnsi="H-Times New Roman" w:cs="Times New Roman"/>
      <w:sz w:val="24"/>
      <w:szCs w:val="20"/>
      <w:lang w:val="en-GB" w:eastAsia="hu-HU"/>
    </w:rPr>
  </w:style>
  <w:style w:type="paragraph" w:styleId="Szvegtrzs2">
    <w:name w:val="Body Text 2"/>
    <w:basedOn w:val="Norml"/>
    <w:link w:val="Szvegtrzs2Char"/>
    <w:rsid w:val="00B2294E"/>
    <w:pPr>
      <w:spacing w:after="120" w:line="480" w:lineRule="auto"/>
    </w:pPr>
    <w:rPr>
      <w:rFonts w:ascii="H-Times New Roman" w:eastAsia="Times New Roman" w:hAnsi="H-Times New Roman"/>
      <w:sz w:val="24"/>
      <w:szCs w:val="20"/>
      <w:lang w:val="en-GB" w:eastAsia="hu-HU"/>
    </w:rPr>
  </w:style>
  <w:style w:type="character" w:customStyle="1" w:styleId="Szvegtrzs2Char">
    <w:name w:val="Szövegtörzs 2 Char"/>
    <w:link w:val="Szvegtrzs2"/>
    <w:rsid w:val="00B2294E"/>
    <w:rPr>
      <w:rFonts w:ascii="H-Times New Roman" w:eastAsia="Times New Roman" w:hAnsi="H-Times New Roman" w:cs="Times New Roman"/>
      <w:sz w:val="24"/>
      <w:szCs w:val="20"/>
      <w:lang w:val="en-GB" w:eastAsia="hu-HU"/>
    </w:rPr>
  </w:style>
  <w:style w:type="character" w:styleId="Hiperhivatkozs">
    <w:name w:val="Hyperlink"/>
    <w:uiPriority w:val="99"/>
    <w:unhideWhenUsed/>
    <w:rsid w:val="00B2294E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B60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60287"/>
  </w:style>
  <w:style w:type="paragraph" w:styleId="llb">
    <w:name w:val="footer"/>
    <w:basedOn w:val="Norml"/>
    <w:link w:val="llbChar"/>
    <w:uiPriority w:val="99"/>
    <w:unhideWhenUsed/>
    <w:rsid w:val="00B60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60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3344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ÁJK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Marianna</dc:creator>
  <cp:keywords/>
  <cp:lastModifiedBy>Méhész Krisztina</cp:lastModifiedBy>
  <cp:revision>2</cp:revision>
  <dcterms:created xsi:type="dcterms:W3CDTF">2026-08-24T07:11:00Z</dcterms:created>
  <dcterms:modified xsi:type="dcterms:W3CDTF">2026-08-24T07:11:00Z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faf0094b6f363a13c71a751aa5ad06439303117eeb9e8832e37ab6fe87220e02</vt:lpwstr>
  </property>
</Properties>
</file>