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04D5" w14:textId="77777777" w:rsidR="009E56A2" w:rsidRPr="00882666" w:rsidRDefault="009E56A2" w:rsidP="009E56A2">
      <w:pPr>
        <w:jc w:val="center"/>
        <w:rPr>
          <w:rStyle w:val="Egyiksem"/>
          <w:rFonts w:ascii="Times New Roman" w:eastAsia="Times New Roman" w:hAnsi="Times New Roman" w:cs="Times New Roman"/>
          <w:b/>
          <w:bCs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lang w:val="hu-HU"/>
        </w:rPr>
        <w:t>ELTE Állam- és Jogtudományi Doktori Iskola</w:t>
      </w:r>
    </w:p>
    <w:p w14:paraId="20522B22" w14:textId="004C8327" w:rsidR="009E56A2" w:rsidRDefault="009E56A2" w:rsidP="009E56A2">
      <w:pPr>
        <w:jc w:val="center"/>
        <w:rPr>
          <w:rStyle w:val="Egyiksem"/>
          <w:rFonts w:ascii="Times New Roman" w:hAnsi="Times New Roman"/>
          <w:b/>
          <w:bCs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lang w:val="hu-HU"/>
        </w:rPr>
        <w:t>Komplex vizsga tételek</w:t>
      </w:r>
      <w:r>
        <w:rPr>
          <w:rStyle w:val="Egyiksem"/>
          <w:rFonts w:ascii="Times New Roman" w:hAnsi="Times New Roman"/>
          <w:b/>
          <w:bCs/>
          <w:lang w:val="hu-HU"/>
        </w:rPr>
        <w:t>: Tudományelmélet</w:t>
      </w:r>
      <w:r w:rsidR="00F75FC1">
        <w:rPr>
          <w:rStyle w:val="Egyiksem"/>
          <w:rFonts w:ascii="Times New Roman" w:hAnsi="Times New Roman"/>
          <w:b/>
          <w:bCs/>
          <w:lang w:val="hu-HU"/>
        </w:rPr>
        <w:t>, kutatásmódszertan</w:t>
      </w:r>
    </w:p>
    <w:p w14:paraId="0B4D8355" w14:textId="77777777" w:rsidR="009E56A2" w:rsidRPr="00882666" w:rsidRDefault="009E56A2" w:rsidP="009E56A2">
      <w:pPr>
        <w:jc w:val="center"/>
        <w:rPr>
          <w:rStyle w:val="Egyiksem"/>
          <w:rFonts w:ascii="Times New Roman" w:eastAsia="Times New Roman" w:hAnsi="Times New Roman" w:cs="Times New Roman"/>
          <w:b/>
          <w:bCs/>
          <w:lang w:val="hu-HU"/>
        </w:rPr>
      </w:pPr>
      <w:r w:rsidRPr="00882666">
        <w:rPr>
          <w:rStyle w:val="Egyiksem"/>
          <w:rFonts w:ascii="Times New Roman" w:hAnsi="Times New Roman"/>
          <w:b/>
          <w:bCs/>
          <w:lang w:val="hu-HU"/>
        </w:rPr>
        <w:t>202</w:t>
      </w:r>
      <w:r>
        <w:rPr>
          <w:rStyle w:val="Egyiksem"/>
          <w:rFonts w:ascii="Times New Roman" w:hAnsi="Times New Roman"/>
          <w:b/>
          <w:bCs/>
          <w:lang w:val="hu-HU"/>
        </w:rPr>
        <w:t>2</w:t>
      </w:r>
      <w:r w:rsidRPr="00882666">
        <w:rPr>
          <w:rStyle w:val="Egyiksem"/>
          <w:rFonts w:ascii="Times New Roman" w:hAnsi="Times New Roman"/>
          <w:b/>
          <w:bCs/>
          <w:lang w:val="hu-HU"/>
        </w:rPr>
        <w:t>/2</w:t>
      </w:r>
      <w:r>
        <w:rPr>
          <w:rStyle w:val="Egyiksem"/>
          <w:rFonts w:ascii="Times New Roman" w:hAnsi="Times New Roman"/>
          <w:b/>
          <w:bCs/>
          <w:lang w:val="hu-HU"/>
        </w:rPr>
        <w:t>3</w:t>
      </w:r>
      <w:r w:rsidRPr="00882666">
        <w:rPr>
          <w:rStyle w:val="Egyiksem"/>
          <w:rFonts w:ascii="Times New Roman" w:hAnsi="Times New Roman"/>
          <w:b/>
          <w:bCs/>
          <w:lang w:val="hu-HU"/>
        </w:rPr>
        <w:t>. tavaszi szemeszter</w:t>
      </w:r>
    </w:p>
    <w:p w14:paraId="37B40E66" w14:textId="77777777" w:rsidR="009E56A2" w:rsidRPr="00882666" w:rsidRDefault="009E56A2" w:rsidP="009E56A2">
      <w:pPr>
        <w:jc w:val="center"/>
        <w:rPr>
          <w:rStyle w:val="Egyiksem"/>
          <w:rFonts w:ascii="Times New Roman" w:eastAsia="Times New Roman" w:hAnsi="Times New Roman" w:cs="Times New Roman"/>
          <w:b/>
          <w:bCs/>
          <w:lang w:val="hu-HU"/>
        </w:rPr>
      </w:pPr>
      <w:r>
        <w:rPr>
          <w:rStyle w:val="Egyiksem"/>
          <w:rFonts w:ascii="Times New Roman" w:hAnsi="Times New Roman"/>
          <w:b/>
          <w:bCs/>
          <w:lang w:val="hu-HU"/>
        </w:rPr>
        <w:t>Kriminológia</w:t>
      </w:r>
      <w:r w:rsidRPr="00882666">
        <w:rPr>
          <w:rStyle w:val="Egyiksem"/>
          <w:rFonts w:ascii="Times New Roman" w:hAnsi="Times New Roman"/>
          <w:b/>
          <w:bCs/>
          <w:lang w:val="hu-HU"/>
        </w:rPr>
        <w:t xml:space="preserve"> doktori program</w:t>
      </w:r>
    </w:p>
    <w:p w14:paraId="3C2A353E" w14:textId="12501A41" w:rsidR="00533199" w:rsidRDefault="00533199" w:rsidP="00533199">
      <w:pPr>
        <w:outlineLvl w:val="0"/>
        <w:rPr>
          <w:rFonts w:ascii="Times New Roman" w:hAnsi="Times New Roman" w:cs="Times New Roman"/>
          <w:b/>
          <w:lang w:val="hu-HU"/>
        </w:rPr>
      </w:pPr>
    </w:p>
    <w:p w14:paraId="260BF41A" w14:textId="729E62BF" w:rsidR="00F75FC1" w:rsidRDefault="00F75FC1" w:rsidP="00533199">
      <w:pPr>
        <w:outlineLvl w:val="0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TUDOMÁNYELMÉLET</w:t>
      </w:r>
    </w:p>
    <w:p w14:paraId="2791E956" w14:textId="77777777" w:rsidR="00F75FC1" w:rsidRDefault="00F75FC1" w:rsidP="00533199">
      <w:pPr>
        <w:outlineLvl w:val="0"/>
        <w:rPr>
          <w:rFonts w:ascii="Times New Roman" w:hAnsi="Times New Roman" w:cs="Times New Roman"/>
          <w:b/>
          <w:lang w:val="hu-HU"/>
        </w:rPr>
      </w:pPr>
    </w:p>
    <w:p w14:paraId="3A496EA7" w14:textId="77777777" w:rsidR="000D7BF6" w:rsidRDefault="000D7BF6">
      <w:pPr>
        <w:outlineLvl w:val="0"/>
        <w:rPr>
          <w:rStyle w:val="Egyiksem"/>
          <w:rFonts w:ascii="Times New Roman" w:hAnsi="Times New Roman"/>
          <w:b/>
          <w:bCs/>
        </w:rPr>
      </w:pPr>
    </w:p>
    <w:p w14:paraId="2E26E26C" w14:textId="77777777" w:rsidR="000D7BF6" w:rsidRPr="009E56A2" w:rsidRDefault="00533199">
      <w:pPr>
        <w:outlineLvl w:val="0"/>
        <w:rPr>
          <w:rStyle w:val="Egyiksem"/>
          <w:rFonts w:ascii="Times New Roman" w:eastAsia="Times New Roman" w:hAnsi="Times New Roman" w:cs="Times New Roman"/>
          <w:b/>
          <w:bCs/>
          <w:i/>
          <w:lang w:val="hu-HU"/>
        </w:rPr>
      </w:pPr>
      <w:r w:rsidRPr="009E56A2">
        <w:rPr>
          <w:rStyle w:val="Egyiksem"/>
          <w:rFonts w:ascii="Times New Roman" w:hAnsi="Times New Roman"/>
          <w:b/>
          <w:bCs/>
          <w:i/>
          <w:lang w:val="hu-HU"/>
        </w:rPr>
        <w:t>Témakörök</w:t>
      </w:r>
    </w:p>
    <w:p w14:paraId="24C91656" w14:textId="77777777" w:rsidR="000D7BF6" w:rsidRPr="009E56A2" w:rsidRDefault="000D7BF6">
      <w:pPr>
        <w:rPr>
          <w:rStyle w:val="Egyiksem"/>
          <w:rFonts w:ascii="Times New Roman" w:eastAsia="Times New Roman" w:hAnsi="Times New Roman" w:cs="Times New Roman"/>
          <w:lang w:val="hu-HU"/>
        </w:rPr>
      </w:pPr>
    </w:p>
    <w:p w14:paraId="516AB78F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>Ontológia és episztemológia: a tudás és a megismerés problematikája a kriminológiában.</w:t>
      </w:r>
    </w:p>
    <w:p w14:paraId="0610CC62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>A pozitivizmus tudományfelfogása; a pozitivista gondolkodás</w:t>
      </w:r>
    </w:p>
    <w:p w14:paraId="4D7D8080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>A paradigma fogalma, a tudomány változása. Thomas Kuhn.</w:t>
      </w:r>
    </w:p>
    <w:p w14:paraId="62B7917A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>A tudományos kutatás logikája: Karl Popper tudományfelfogása.</w:t>
      </w:r>
    </w:p>
    <w:p w14:paraId="3754F380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 xml:space="preserve">A személyes tudás. Polányi Mihály tudományelmélete.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Episztemikus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 xml:space="preserve"> közösség</w:t>
      </w:r>
    </w:p>
    <w:p w14:paraId="510E4AD8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 xml:space="preserve">Az elméletek igazolásának problémái. Az indukció szerepe és problémái. A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Quine-Duham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 xml:space="preserve"> tézis és az elméletek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aluldetermináltsága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>.</w:t>
      </w:r>
    </w:p>
    <w:p w14:paraId="2C5A160A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 xml:space="preserve">Módszertani naturalizmus és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antinaturalizmus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 xml:space="preserve">. Az arisztotelészi és a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galileánus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 xml:space="preserve"> hagyomány. A magyarázat klasszikus modellje, és ennek problémái.</w:t>
      </w:r>
    </w:p>
    <w:p w14:paraId="170C41BF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 xml:space="preserve">Magyarázat és megértés. A 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nomologikus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 xml:space="preserve"> magyarázati modell humántudományi alkalmazhatósága ellen és mellett szóló érvek és ellenérvek. Teleologikus és narratív magyarázatok a társadalom- és humántudományokban.</w:t>
      </w:r>
    </w:p>
    <w:p w14:paraId="4C42F422" w14:textId="77777777" w:rsidR="000D7BF6" w:rsidRPr="009E56A2" w:rsidRDefault="00731CB2" w:rsidP="00533199">
      <w:pPr>
        <w:numPr>
          <w:ilvl w:val="0"/>
          <w:numId w:val="2"/>
        </w:numPr>
        <w:spacing w:line="360" w:lineRule="auto"/>
        <w:jc w:val="both"/>
        <w:rPr>
          <w:lang w:val="hu-HU"/>
        </w:rPr>
      </w:pPr>
      <w:r w:rsidRPr="009E56A2">
        <w:rPr>
          <w:rStyle w:val="Egyiksem"/>
          <w:rFonts w:ascii="Times New Roman" w:hAnsi="Times New Roman"/>
          <w:lang w:val="hu-HU"/>
        </w:rPr>
        <w:t>A tudományos szabadság (</w:t>
      </w:r>
      <w:proofErr w:type="spellStart"/>
      <w:r w:rsidRPr="009E56A2">
        <w:rPr>
          <w:rStyle w:val="Egyiksem"/>
          <w:rFonts w:ascii="Times New Roman" w:hAnsi="Times New Roman"/>
          <w:lang w:val="hu-HU"/>
        </w:rPr>
        <w:t>Merton</w:t>
      </w:r>
      <w:proofErr w:type="spellEnd"/>
      <w:r w:rsidRPr="009E56A2">
        <w:rPr>
          <w:rStyle w:val="Egyiksem"/>
          <w:rFonts w:ascii="Times New Roman" w:hAnsi="Times New Roman"/>
          <w:lang w:val="hu-HU"/>
        </w:rPr>
        <w:t>), tudás és autonómia viszonya</w:t>
      </w:r>
    </w:p>
    <w:p w14:paraId="3F9C9B96" w14:textId="77777777" w:rsidR="000D7BF6" w:rsidRPr="009E56A2" w:rsidRDefault="000D7BF6" w:rsidP="00533199">
      <w:pPr>
        <w:spacing w:line="360" w:lineRule="auto"/>
        <w:jc w:val="both"/>
        <w:rPr>
          <w:rStyle w:val="Egyiksem"/>
          <w:rFonts w:ascii="Times New Roman" w:eastAsia="Times New Roman" w:hAnsi="Times New Roman" w:cs="Times New Roman"/>
          <w:lang w:val="hu-HU"/>
        </w:rPr>
      </w:pPr>
    </w:p>
    <w:p w14:paraId="76099E28" w14:textId="77777777" w:rsidR="000D7BF6" w:rsidRPr="009E56A2" w:rsidRDefault="000D7BF6">
      <w:pPr>
        <w:rPr>
          <w:rStyle w:val="Egyiksem"/>
          <w:rFonts w:ascii="Times New Roman" w:eastAsia="Times New Roman" w:hAnsi="Times New Roman" w:cs="Times New Roman"/>
          <w:lang w:val="hu-HU"/>
        </w:rPr>
      </w:pPr>
    </w:p>
    <w:p w14:paraId="6A056E79" w14:textId="77777777" w:rsidR="000D7BF6" w:rsidRPr="009E56A2" w:rsidRDefault="00731CB2">
      <w:pPr>
        <w:rPr>
          <w:rStyle w:val="Egyiksem"/>
          <w:rFonts w:ascii="Times New Roman" w:eastAsia="Times New Roman" w:hAnsi="Times New Roman" w:cs="Times New Roman"/>
          <w:b/>
          <w:bCs/>
          <w:i/>
          <w:lang w:val="hu-HU"/>
        </w:rPr>
      </w:pPr>
      <w:r w:rsidRPr="009E56A2">
        <w:rPr>
          <w:rStyle w:val="Egyiksem"/>
          <w:rFonts w:ascii="Times New Roman" w:hAnsi="Times New Roman"/>
          <w:b/>
          <w:bCs/>
          <w:i/>
          <w:lang w:val="hu-HU"/>
        </w:rPr>
        <w:t>Kötelező irodalom:</w:t>
      </w:r>
    </w:p>
    <w:p w14:paraId="6D6C013B" w14:textId="77777777" w:rsidR="000D7BF6" w:rsidRPr="009E56A2" w:rsidRDefault="000D7BF6">
      <w:pPr>
        <w:rPr>
          <w:rStyle w:val="Egyiksem"/>
          <w:rFonts w:ascii="Times New Roman" w:eastAsia="Times New Roman" w:hAnsi="Times New Roman" w:cs="Times New Roman"/>
          <w:lang w:val="hu-HU"/>
        </w:rPr>
      </w:pPr>
    </w:p>
    <w:p w14:paraId="63781623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Bourdieu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, Pierre (2009) „A tudományos mező”,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Replika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67, 11-36.</w:t>
      </w:r>
    </w:p>
    <w:p w14:paraId="10F63787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Carnap, Rudolf (1999) „Ellenőrizhetőség és jelentés”, in: Forrai Gábor – Szegedi Péter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Tudományfilozófia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Budapest: Áron Kiadó (pp. 41–51.)</w:t>
      </w:r>
    </w:p>
    <w:p w14:paraId="50BCDE5B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Danto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, Arthur C. (2003) „A narratívák szerepe a történeti magyarázatban”, in: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Kisantal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Tamás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 és művészet között. A modern történelemelmélet problémái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(pp. 61-83.)</w:t>
      </w:r>
    </w:p>
    <w:p w14:paraId="78AB1841" w14:textId="77777777" w:rsidR="000D7BF6" w:rsidRPr="009E56A2" w:rsidRDefault="00731CB2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Gulyás László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et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al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(szerk.) (2013)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Bevezetés a tudományfilozófiába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ELTE TTK Tudománytörténet és Tudományfilozófia Tanszék (2, 3, 4.1, 4.3 fejezetek)</w:t>
      </w:r>
      <w:r w:rsidRPr="009E56A2">
        <w:rPr>
          <w:rStyle w:val="NoneA"/>
          <w:rFonts w:ascii="Times New Roman" w:eastAsia="Times New Roman" w:hAnsi="Times New Roman" w:cs="Times New Roman"/>
          <w:sz w:val="24"/>
          <w:szCs w:val="24"/>
          <w:lang w:val="hu-HU"/>
        </w:rPr>
        <w:br/>
      </w:r>
      <w:hyperlink r:id="rId7" w:history="1">
        <w:r w:rsidRPr="009E56A2">
          <w:rPr>
            <w:rStyle w:val="Hyperlink0"/>
            <w:rFonts w:ascii="Times New Roman" w:hAnsi="Times New Roman"/>
            <w:sz w:val="24"/>
            <w:szCs w:val="24"/>
            <w:lang w:val="hu-HU"/>
          </w:rPr>
          <w:t>http://www.filozofia.bme.hu/sites/default/files/Gulyas_et_al_Bevezetes_a_tudomanyfilozofiaba.pdf</w:t>
        </w:r>
      </w:hyperlink>
    </w:p>
    <w:p w14:paraId="56CE7597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lastRenderedPageBreak/>
        <w:t>Hempel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C. G. (1998) „Az indukció újabb problémái”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,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in: Laki János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Tudományfilozófia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Osiris – Láthatatlan Kollégium (pp. 87-106.)</w:t>
      </w:r>
    </w:p>
    <w:p w14:paraId="498204FC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Hempel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, C. G. (2003) „Az általános törvények szerepe a történettudományokban”, in: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Kisantal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Tamás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 és művészet között. A modern történelemelmélet problémái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(pp. 37-51.)</w:t>
      </w:r>
    </w:p>
    <w:p w14:paraId="1C061D4D" w14:textId="77777777" w:rsidR="000D7BF6" w:rsidRPr="009E56A2" w:rsidRDefault="00731CB2">
      <w:pPr>
        <w:pStyle w:val="Listaszerbekezds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>Hempel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>, C. G.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- </w:t>
      </w:r>
      <w:proofErr w:type="spellStart"/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>Oppenheim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>, Paul (1999) „A tudományos magyarázat logikája”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,</w:t>
      </w:r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 xml:space="preserve"> in: Forrai - Szegedi (szerk.):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Tudományfilozófia</w:t>
      </w:r>
      <w:r w:rsidRPr="009E56A2">
        <w:rPr>
          <w:rStyle w:val="Egyiksem"/>
          <w:rFonts w:ascii="Times New Roman" w:hAnsi="Times New Roman"/>
          <w:color w:val="auto"/>
          <w:sz w:val="24"/>
          <w:szCs w:val="24"/>
          <w:lang w:val="hu-HU"/>
        </w:rPr>
        <w:t xml:space="preserve">. Budapest: Áron Kiadó, (pp. 109-127.) </w:t>
      </w:r>
      <w:hyperlink r:id="rId8" w:history="1">
        <w:r w:rsidRPr="009E56A2">
          <w:rPr>
            <w:rStyle w:val="Hyperlink1"/>
            <w:rFonts w:ascii="Times New Roman" w:hAnsi="Times New Roman"/>
            <w:color w:val="auto"/>
            <w:sz w:val="24"/>
            <w:szCs w:val="24"/>
            <w:lang w:val="hu-HU"/>
          </w:rPr>
          <w:t>http://www.tankonyvtar.hu/hu/tartalom/tamop425/2011_0001_537_Tudomanyfilozofia/ch06.html</w:t>
        </w:r>
      </w:hyperlink>
    </w:p>
    <w:p w14:paraId="319EE013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Kuhn, Thomas (1984) A tudományos forradalmak szerkezete. Budapest: Gondolat</w:t>
      </w:r>
    </w:p>
    <w:p w14:paraId="37070F38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Kutrovácz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G., Láng B., Zemplén G. (2009)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A tudomány határai, Budapest: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Typotex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(1-3. fejezetek)</w:t>
      </w:r>
    </w:p>
    <w:p w14:paraId="24DFBAC7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Laki János (1998) „Empirikus adatok, metodológia, gondolkodás és nyelv a XX. századi tudományfilozófiában”, in: Laki János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Tudományfilozófia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Osiris – Láthatatlan Kollégium (pp. 7-33.)</w:t>
      </w:r>
    </w:p>
    <w:p w14:paraId="360D1931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Lakatos Imre (1997) „A kritika és a tudományos kutatási programok metodológiája”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,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in: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Lakatos Imre tudományfilozófiai írásai.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Budapest: Atlantisz Kiadó, (pp. 19-63.)</w:t>
      </w:r>
    </w:p>
    <w:p w14:paraId="2F8C4FC8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Merton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, Robert K. (2002)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Társadalomelmélet és társadalmi struktúra.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Budapest: Osiris, 4. rész</w:t>
      </w:r>
    </w:p>
    <w:p w14:paraId="34DD8379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>Moran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 xml:space="preserve">, </w:t>
      </w:r>
      <w:proofErr w:type="spellStart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>Dermot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 xml:space="preserve"> (2000) </w:t>
      </w:r>
      <w:proofErr w:type="spellStart"/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333333"/>
          <w:lang w:val="hu-HU"/>
        </w:rPr>
        <w:t>Introduction</w:t>
      </w:r>
      <w:proofErr w:type="spellEnd"/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333333"/>
          <w:lang w:val="hu-HU"/>
        </w:rPr>
        <w:t xml:space="preserve"> </w:t>
      </w:r>
      <w:proofErr w:type="spellStart"/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333333"/>
          <w:lang w:val="hu-HU"/>
        </w:rPr>
        <w:t>to</w:t>
      </w:r>
      <w:proofErr w:type="spellEnd"/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333333"/>
          <w:lang w:val="hu-HU"/>
        </w:rPr>
        <w:t xml:space="preserve"> </w:t>
      </w:r>
      <w:proofErr w:type="spellStart"/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333333"/>
          <w:lang w:val="hu-HU"/>
        </w:rPr>
        <w:t>phenomenology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 xml:space="preserve">. London: </w:t>
      </w:r>
      <w:proofErr w:type="spellStart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>Routledge</w:t>
      </w:r>
      <w:proofErr w:type="spellEnd"/>
      <w:r w:rsidRPr="009E56A2">
        <w:rPr>
          <w:rStyle w:val="Egyiksem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val="hu-HU"/>
        </w:rPr>
        <w:t>.</w:t>
      </w:r>
    </w:p>
    <w:p w14:paraId="31098E4D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Némedi Dénes (2008) “Modern szociológiai paradigmák”,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Napvilág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461-518.</w:t>
      </w:r>
    </w:p>
    <w:p w14:paraId="56A4F58A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Polányi Mihály (1994) “Személyes tudás”,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Atlantisz, </w:t>
      </w:r>
      <w:r w:rsidRPr="009E56A2">
        <w:rPr>
          <w:rFonts w:ascii="Times New Roman" w:hAnsi="Times New Roman"/>
          <w:color w:val="auto"/>
          <w:sz w:val="24"/>
          <w:szCs w:val="24"/>
          <w:lang w:val="hu-HU"/>
        </w:rPr>
        <w:t>I., 95-121.</w:t>
      </w:r>
    </w:p>
    <w:p w14:paraId="116C999C" w14:textId="1760EA8F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Popper, Karl R. (1997)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A tudományos kutatás logikája,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Budapest: Európa Könyvkiadó (Különösen az I. rész, pp. 29-69.), </w:t>
      </w:r>
      <w:hyperlink r:id="rId9" w:history="1">
        <w:r w:rsidRPr="009E56A2">
          <w:rPr>
            <w:rStyle w:val="Hyperlink2"/>
            <w:rFonts w:ascii="Times New Roman" w:hAnsi="Times New Roman"/>
            <w:sz w:val="24"/>
            <w:szCs w:val="24"/>
            <w:lang w:val="hu-HU"/>
          </w:rPr>
          <w:t>http://hps.elte.hu/~kutrovatz/tudfil/03_popper1.pdf</w:t>
        </w:r>
      </w:hyperlink>
      <w:r w:rsidR="009E56A2">
        <w:rPr>
          <w:rStyle w:val="Hyperlink2"/>
          <w:rFonts w:ascii="Times New Roman" w:hAnsi="Times New Roman"/>
          <w:sz w:val="24"/>
          <w:szCs w:val="24"/>
          <w:lang w:val="hu-HU"/>
        </w:rPr>
        <w:t xml:space="preserve"> </w:t>
      </w:r>
    </w:p>
    <w:p w14:paraId="0E4DAD6C" w14:textId="77777777" w:rsidR="000D7BF6" w:rsidRPr="009E56A2" w:rsidRDefault="00731CB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Quine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, W. v. O. (1998) „A világ empirikusan ekvivalens részeiről”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,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in: Laki János (szerk.): 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Tudományfilozófia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Osiris – Láthatatlan Kollégium, (pp. 124-136.)</w:t>
      </w:r>
    </w:p>
    <w:p w14:paraId="5502C11B" w14:textId="77777777" w:rsidR="000D7BF6" w:rsidRPr="009E56A2" w:rsidRDefault="00731CB2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Schlick, </w:t>
      </w:r>
      <w:proofErr w:type="spellStart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Moritz</w:t>
      </w:r>
      <w:proofErr w:type="spellEnd"/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(1999) „Az ismeret fundamentumáról”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,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in: Forrai - Szegedi (szerk.):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Tudományfilozófia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Áron Kiadó (pp. 27-40.),</w:t>
      </w:r>
      <w:r w:rsidRPr="009E56A2">
        <w:rPr>
          <w:rStyle w:val="NoneA"/>
          <w:rFonts w:ascii="Times New Roman" w:eastAsia="Times New Roman" w:hAnsi="Times New Roman" w:cs="Times New Roman"/>
          <w:color w:val="auto"/>
          <w:sz w:val="24"/>
          <w:szCs w:val="24"/>
          <w:lang w:val="hu-HU"/>
        </w:rPr>
        <w:br/>
      </w:r>
      <w:hyperlink r:id="rId10" w:history="1">
        <w:r w:rsidRPr="009E56A2">
          <w:rPr>
            <w:rStyle w:val="Hyperlink3"/>
            <w:rFonts w:ascii="Times New Roman" w:hAnsi="Times New Roman"/>
            <w:sz w:val="24"/>
            <w:szCs w:val="24"/>
            <w:lang w:val="hu-HU"/>
          </w:rPr>
          <w:t>http://www.tankonyvtar.hu/hu/tartalom/tamop425/2011_0001_537_Tudomanyfilozofia/ch02.html</w:t>
        </w:r>
      </w:hyperlink>
    </w:p>
    <w:p w14:paraId="65B6FD7A" w14:textId="413F33E5" w:rsidR="000D7BF6" w:rsidRDefault="00731CB2">
      <w:pPr>
        <w:pStyle w:val="Listaszerbekezds"/>
        <w:numPr>
          <w:ilvl w:val="0"/>
          <w:numId w:val="4"/>
        </w:numPr>
        <w:jc w:val="both"/>
        <w:rPr>
          <w:rStyle w:val="NoneA"/>
          <w:rFonts w:ascii="Times New Roman" w:hAnsi="Times New Roman"/>
          <w:color w:val="auto"/>
          <w:sz w:val="24"/>
          <w:szCs w:val="24"/>
          <w:lang w:val="hu-HU"/>
        </w:rPr>
      </w:pP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von Wright, Georg Henrik (1987)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„Magyarázat és megértés, I. A két hagyomány”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>,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 xml:space="preserve"> in: Bertalan László (szerk.):</w:t>
      </w:r>
      <w:r w:rsidRPr="009E56A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hu-HU"/>
        </w:rPr>
        <w:t xml:space="preserve"> Magyarázat, megértés és előrejelzés</w:t>
      </w:r>
      <w:r w:rsidRPr="009E56A2">
        <w:rPr>
          <w:rStyle w:val="NoneA"/>
          <w:rFonts w:ascii="Times New Roman" w:hAnsi="Times New Roman"/>
          <w:color w:val="auto"/>
          <w:sz w:val="24"/>
          <w:szCs w:val="24"/>
          <w:lang w:val="hu-HU"/>
        </w:rPr>
        <w:t>. Budapest: Tömegkommunikációs Kutatóközpont, (pp. 43-70.)</w:t>
      </w:r>
    </w:p>
    <w:p w14:paraId="30B6B16F" w14:textId="2D6656D1" w:rsidR="00F75FC1" w:rsidRDefault="00F75FC1" w:rsidP="00F75FC1">
      <w:pPr>
        <w:jc w:val="both"/>
        <w:rPr>
          <w:rFonts w:ascii="Times New Roman" w:hAnsi="Times New Roman"/>
          <w:color w:val="auto"/>
          <w:lang w:val="hu-HU"/>
        </w:rPr>
      </w:pPr>
    </w:p>
    <w:p w14:paraId="4A1D5B14" w14:textId="14F828E6" w:rsidR="00F75FC1" w:rsidRDefault="00F75FC1" w:rsidP="00F75FC1">
      <w:pPr>
        <w:jc w:val="both"/>
        <w:rPr>
          <w:rFonts w:ascii="Times New Roman" w:hAnsi="Times New Roman"/>
          <w:b/>
          <w:bCs/>
          <w:color w:val="auto"/>
          <w:lang w:val="hu-HU"/>
        </w:rPr>
      </w:pPr>
      <w:r w:rsidRPr="00F75FC1">
        <w:rPr>
          <w:rFonts w:ascii="Times New Roman" w:hAnsi="Times New Roman"/>
          <w:b/>
          <w:bCs/>
          <w:color w:val="auto"/>
          <w:lang w:val="hu-HU"/>
        </w:rPr>
        <w:lastRenderedPageBreak/>
        <w:t xml:space="preserve">KUTATÁSMÓDSZERTAN </w:t>
      </w:r>
    </w:p>
    <w:p w14:paraId="630E09AF" w14:textId="77777777" w:rsidR="00F75FC1" w:rsidRPr="00E83FB4" w:rsidRDefault="00F75FC1" w:rsidP="00F75FC1">
      <w:pPr>
        <w:pStyle w:val="NormlWeb"/>
        <w:rPr>
          <w:b/>
          <w:bCs/>
          <w:color w:val="000000"/>
        </w:rPr>
      </w:pPr>
      <w:r w:rsidRPr="00E83FB4">
        <w:rPr>
          <w:b/>
          <w:bCs/>
          <w:color w:val="000000"/>
        </w:rPr>
        <w:t>Témakörök</w:t>
      </w:r>
    </w:p>
    <w:p w14:paraId="2C9675B6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1. A tudományos és a hétköznapi megismerés sajátosságai, a megismerési hibák kezelése</w:t>
      </w:r>
    </w:p>
    <w:p w14:paraId="232E999E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2. Kutatástervezés a kriminológiában</w:t>
      </w:r>
    </w:p>
    <w:p w14:paraId="4DC7F559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4. A kutatási kérdés megfogalmazása</w:t>
      </w:r>
    </w:p>
    <w:p w14:paraId="0B1C44F5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5. A </w:t>
      </w:r>
      <w:proofErr w:type="spellStart"/>
      <w:r w:rsidRPr="00E83FB4">
        <w:rPr>
          <w:color w:val="000000"/>
        </w:rPr>
        <w:t>kriminálstatisztika</w:t>
      </w:r>
      <w:proofErr w:type="spellEnd"/>
      <w:r w:rsidRPr="00E83FB4">
        <w:rPr>
          <w:color w:val="000000"/>
        </w:rPr>
        <w:t xml:space="preserve"> használata és </w:t>
      </w:r>
      <w:proofErr w:type="spellStart"/>
      <w:r w:rsidRPr="00E83FB4">
        <w:rPr>
          <w:color w:val="000000"/>
        </w:rPr>
        <w:t>korlátai</w:t>
      </w:r>
      <w:proofErr w:type="spellEnd"/>
    </w:p>
    <w:p w14:paraId="568E1483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6. Kvantitatív kutatások, különös tekintettel a </w:t>
      </w:r>
      <w:proofErr w:type="spellStart"/>
      <w:r w:rsidRPr="00E83FB4">
        <w:rPr>
          <w:color w:val="000000"/>
        </w:rPr>
        <w:t>viktimizációs</w:t>
      </w:r>
      <w:proofErr w:type="spellEnd"/>
      <w:r w:rsidRPr="00E83FB4">
        <w:rPr>
          <w:color w:val="000000"/>
        </w:rPr>
        <w:t xml:space="preserve"> vizsgálatokra és longitudinális felmérésekre</w:t>
      </w:r>
    </w:p>
    <w:p w14:paraId="23B5D78F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7. Az interjú készítésének módszertani sajátosságai, az interjú típusai</w:t>
      </w:r>
    </w:p>
    <w:p w14:paraId="121B46FE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8. A fókuszcsoportos vizsgálatok lehetőségei és </w:t>
      </w:r>
      <w:proofErr w:type="spellStart"/>
      <w:r w:rsidRPr="00E83FB4">
        <w:rPr>
          <w:color w:val="000000"/>
        </w:rPr>
        <w:t>korlátai</w:t>
      </w:r>
      <w:proofErr w:type="spellEnd"/>
    </w:p>
    <w:p w14:paraId="3B7F4109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9. Etnográfiai kutatások a kriminológiában</w:t>
      </w:r>
    </w:p>
    <w:p w14:paraId="1BEECA0B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10. Médiakutatások</w:t>
      </w:r>
    </w:p>
    <w:p w14:paraId="32C9BE52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>11. A kriminológiai kutatások etikai kérdései</w:t>
      </w:r>
    </w:p>
    <w:p w14:paraId="00971DB8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</w:p>
    <w:p w14:paraId="405BCBB9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b/>
          <w:bCs/>
          <w:color w:val="000000"/>
        </w:rPr>
        <w:t>Kötelező irodalom</w:t>
      </w:r>
    </w:p>
    <w:p w14:paraId="1CA354AC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E83FB4">
        <w:rPr>
          <w:color w:val="000000"/>
        </w:rPr>
        <w:t>Babbie</w:t>
      </w:r>
      <w:proofErr w:type="spellEnd"/>
      <w:r w:rsidRPr="00E83FB4">
        <w:rPr>
          <w:color w:val="000000"/>
        </w:rPr>
        <w:t xml:space="preserve">, </w:t>
      </w:r>
      <w:proofErr w:type="spellStart"/>
      <w:r w:rsidRPr="00E83FB4">
        <w:rPr>
          <w:color w:val="000000"/>
        </w:rPr>
        <w:t>Earl</w:t>
      </w:r>
      <w:proofErr w:type="spellEnd"/>
      <w:r w:rsidRPr="00E83FB4">
        <w:rPr>
          <w:color w:val="000000"/>
        </w:rPr>
        <w:t xml:space="preserve"> (2001) A társadalomtudományi kutatás gyakorlata. Balassi Kiadó</w:t>
      </w:r>
    </w:p>
    <w:p w14:paraId="40F40EF8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Becker, Howard S.: </w:t>
      </w:r>
      <w:proofErr w:type="spellStart"/>
      <w:r w:rsidRPr="00E83FB4">
        <w:rPr>
          <w:color w:val="000000"/>
        </w:rPr>
        <w:t>Writing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For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Social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Scientists</w:t>
      </w:r>
      <w:proofErr w:type="spellEnd"/>
      <w:r w:rsidRPr="00E83FB4">
        <w:rPr>
          <w:color w:val="000000"/>
        </w:rPr>
        <w:t xml:space="preserve">. </w:t>
      </w:r>
      <w:proofErr w:type="spellStart"/>
      <w:r w:rsidRPr="00E83FB4">
        <w:rPr>
          <w:color w:val="000000"/>
        </w:rPr>
        <w:t>How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to</w:t>
      </w:r>
      <w:proofErr w:type="spellEnd"/>
      <w:r w:rsidRPr="00E83FB4">
        <w:rPr>
          <w:color w:val="000000"/>
        </w:rPr>
        <w:t xml:space="preserve"> Start and </w:t>
      </w:r>
      <w:proofErr w:type="spellStart"/>
      <w:r w:rsidRPr="00E83FB4">
        <w:rPr>
          <w:color w:val="000000"/>
        </w:rPr>
        <w:t>Finish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Your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Thesis</w:t>
      </w:r>
      <w:proofErr w:type="spellEnd"/>
      <w:r w:rsidRPr="00E83FB4">
        <w:rPr>
          <w:color w:val="000000"/>
        </w:rPr>
        <w:t xml:space="preserve">, </w:t>
      </w:r>
      <w:proofErr w:type="spellStart"/>
      <w:r w:rsidRPr="00E83FB4">
        <w:rPr>
          <w:color w:val="000000"/>
        </w:rPr>
        <w:t>Book</w:t>
      </w:r>
      <w:proofErr w:type="spellEnd"/>
      <w:r w:rsidRPr="00E83FB4">
        <w:rPr>
          <w:color w:val="000000"/>
        </w:rPr>
        <w:t xml:space="preserve">, </w:t>
      </w:r>
      <w:proofErr w:type="spellStart"/>
      <w:r w:rsidRPr="00E83FB4">
        <w:rPr>
          <w:color w:val="000000"/>
        </w:rPr>
        <w:t>or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Article</w:t>
      </w:r>
      <w:proofErr w:type="spellEnd"/>
      <w:r w:rsidRPr="00E83FB4">
        <w:rPr>
          <w:color w:val="000000"/>
        </w:rPr>
        <w:t>, University of Chicago Press, 2007</w:t>
      </w:r>
    </w:p>
    <w:p w14:paraId="6DEF1AAE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Bodor Péter (szerk.) (2013) Szavak, képek, jelentés: kvalitatív kutatási olvasókönyv. Budapest: </w:t>
      </w:r>
      <w:proofErr w:type="spellStart"/>
      <w:r w:rsidRPr="00E83FB4">
        <w:rPr>
          <w:color w:val="000000"/>
        </w:rPr>
        <w:t>L’Harmattan</w:t>
      </w:r>
      <w:proofErr w:type="spellEnd"/>
    </w:p>
    <w:p w14:paraId="08DF7635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Borbíró Andrea, Gönczöl Katalin, Kerezsi Klára és Lévay Miklós (szerk.) (2016) Kriminológia. Budapest: </w:t>
      </w:r>
      <w:proofErr w:type="spellStart"/>
      <w:r w:rsidRPr="00E83FB4">
        <w:rPr>
          <w:color w:val="000000"/>
        </w:rPr>
        <w:t>Wolters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Kluwer</w:t>
      </w:r>
      <w:proofErr w:type="spellEnd"/>
      <w:r w:rsidRPr="00E83FB4">
        <w:rPr>
          <w:color w:val="000000"/>
        </w:rPr>
        <w:t>, 12-15. fejezet</w:t>
      </w:r>
    </w:p>
    <w:p w14:paraId="7FC67F6E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Chamberlain, John </w:t>
      </w:r>
      <w:proofErr w:type="spellStart"/>
      <w:r w:rsidRPr="00E83FB4">
        <w:rPr>
          <w:color w:val="000000"/>
        </w:rPr>
        <w:t>Marty</w:t>
      </w:r>
      <w:proofErr w:type="spellEnd"/>
      <w:r w:rsidRPr="00E83FB4">
        <w:rPr>
          <w:color w:val="000000"/>
        </w:rPr>
        <w:t xml:space="preserve"> (2013) </w:t>
      </w:r>
      <w:proofErr w:type="spellStart"/>
      <w:r w:rsidRPr="00E83FB4">
        <w:rPr>
          <w:color w:val="000000"/>
        </w:rPr>
        <w:t>Understanding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Criminological</w:t>
      </w:r>
      <w:proofErr w:type="spellEnd"/>
      <w:r w:rsidRPr="00E83FB4">
        <w:rPr>
          <w:color w:val="000000"/>
        </w:rPr>
        <w:t xml:space="preserve"> Research. </w:t>
      </w:r>
      <w:proofErr w:type="spellStart"/>
      <w:r w:rsidRPr="00E83FB4">
        <w:rPr>
          <w:color w:val="000000"/>
        </w:rPr>
        <w:t>Sage</w:t>
      </w:r>
      <w:proofErr w:type="spellEnd"/>
      <w:r w:rsidRPr="00E83FB4">
        <w:rPr>
          <w:color w:val="000000"/>
        </w:rPr>
        <w:t>, 2-4-. fejezet</w:t>
      </w:r>
    </w:p>
    <w:p w14:paraId="7D13974B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E83FB4">
        <w:rPr>
          <w:color w:val="000000"/>
        </w:rPr>
        <w:t>Corbin</w:t>
      </w:r>
      <w:proofErr w:type="spellEnd"/>
      <w:r w:rsidRPr="00E83FB4">
        <w:rPr>
          <w:color w:val="000000"/>
        </w:rPr>
        <w:t xml:space="preserve">, Juliet és </w:t>
      </w:r>
      <w:proofErr w:type="spellStart"/>
      <w:r w:rsidRPr="00E83FB4">
        <w:rPr>
          <w:color w:val="000000"/>
        </w:rPr>
        <w:t>Anselm</w:t>
      </w:r>
      <w:proofErr w:type="spellEnd"/>
      <w:r w:rsidRPr="00E83FB4">
        <w:rPr>
          <w:color w:val="000000"/>
        </w:rPr>
        <w:t xml:space="preserve"> Strauss (2015) A kvalitatív kutatás alapjai. </w:t>
      </w:r>
      <w:proofErr w:type="spellStart"/>
      <w:r w:rsidRPr="00E83FB4">
        <w:rPr>
          <w:color w:val="000000"/>
        </w:rPr>
        <w:t>L’Harmattan</w:t>
      </w:r>
      <w:proofErr w:type="spellEnd"/>
    </w:p>
    <w:p w14:paraId="73A00DA8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r w:rsidRPr="00E83FB4">
        <w:rPr>
          <w:color w:val="000000"/>
        </w:rPr>
        <w:t xml:space="preserve">Davies, Pamela, Peter Francis and Victor </w:t>
      </w:r>
      <w:proofErr w:type="spellStart"/>
      <w:r w:rsidRPr="00E83FB4">
        <w:rPr>
          <w:color w:val="000000"/>
        </w:rPr>
        <w:t>Jupp</w:t>
      </w:r>
      <w:proofErr w:type="spellEnd"/>
      <w:r w:rsidRPr="00E83FB4">
        <w:rPr>
          <w:color w:val="000000"/>
        </w:rPr>
        <w:t xml:space="preserve"> (2011) </w:t>
      </w:r>
      <w:proofErr w:type="spellStart"/>
      <w:r w:rsidRPr="00E83FB4">
        <w:rPr>
          <w:color w:val="000000"/>
        </w:rPr>
        <w:t>Doing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Criminological</w:t>
      </w:r>
      <w:proofErr w:type="spellEnd"/>
      <w:r w:rsidRPr="00E83FB4">
        <w:rPr>
          <w:color w:val="000000"/>
        </w:rPr>
        <w:t xml:space="preserve"> Research. </w:t>
      </w:r>
      <w:proofErr w:type="spellStart"/>
      <w:r w:rsidRPr="00E83FB4">
        <w:rPr>
          <w:color w:val="000000"/>
        </w:rPr>
        <w:t>Sage</w:t>
      </w:r>
      <w:proofErr w:type="spellEnd"/>
    </w:p>
    <w:p w14:paraId="5E38D825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E83FB4">
        <w:rPr>
          <w:color w:val="000000"/>
        </w:rPr>
        <w:t>Kvale</w:t>
      </w:r>
      <w:proofErr w:type="spellEnd"/>
      <w:r w:rsidRPr="00E83FB4">
        <w:rPr>
          <w:color w:val="000000"/>
        </w:rPr>
        <w:t xml:space="preserve">, </w:t>
      </w:r>
      <w:proofErr w:type="spellStart"/>
      <w:r w:rsidRPr="00E83FB4">
        <w:rPr>
          <w:color w:val="000000"/>
        </w:rPr>
        <w:t>Steinar</w:t>
      </w:r>
      <w:proofErr w:type="spellEnd"/>
      <w:r w:rsidRPr="00E83FB4">
        <w:rPr>
          <w:color w:val="000000"/>
        </w:rPr>
        <w:t>: Az interjú. Bevezetés a kvalitatív kutatás interjútechnikáiba, Jószöveg, 2005</w:t>
      </w:r>
    </w:p>
    <w:p w14:paraId="45C8F5DB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E83FB4">
        <w:rPr>
          <w:color w:val="000000"/>
        </w:rPr>
        <w:t>Ransome</w:t>
      </w:r>
      <w:proofErr w:type="spellEnd"/>
      <w:r w:rsidRPr="00E83FB4">
        <w:rPr>
          <w:color w:val="000000"/>
        </w:rPr>
        <w:t xml:space="preserve">, Paul: </w:t>
      </w:r>
      <w:proofErr w:type="spellStart"/>
      <w:r w:rsidRPr="00E83FB4">
        <w:rPr>
          <w:color w:val="000000"/>
        </w:rPr>
        <w:t>Ethics</w:t>
      </w:r>
      <w:proofErr w:type="spellEnd"/>
      <w:r w:rsidRPr="00E83FB4">
        <w:rPr>
          <w:color w:val="000000"/>
        </w:rPr>
        <w:t xml:space="preserve"> &amp; </w:t>
      </w:r>
      <w:proofErr w:type="spellStart"/>
      <w:r w:rsidRPr="00E83FB4">
        <w:rPr>
          <w:color w:val="000000"/>
        </w:rPr>
        <w:t>Values</w:t>
      </w:r>
      <w:proofErr w:type="spellEnd"/>
      <w:r w:rsidRPr="00E83FB4">
        <w:rPr>
          <w:color w:val="000000"/>
        </w:rPr>
        <w:t xml:space="preserve"> in </w:t>
      </w:r>
      <w:proofErr w:type="spellStart"/>
      <w:r w:rsidRPr="00E83FB4">
        <w:rPr>
          <w:color w:val="000000"/>
        </w:rPr>
        <w:t>Social</w:t>
      </w:r>
      <w:proofErr w:type="spellEnd"/>
      <w:r w:rsidRPr="00E83FB4">
        <w:rPr>
          <w:color w:val="000000"/>
        </w:rPr>
        <w:t xml:space="preserve"> Research, </w:t>
      </w:r>
      <w:proofErr w:type="spellStart"/>
      <w:r w:rsidRPr="00E83FB4">
        <w:rPr>
          <w:color w:val="000000"/>
        </w:rPr>
        <w:t>Palgrave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Macmillan</w:t>
      </w:r>
      <w:proofErr w:type="spellEnd"/>
      <w:r w:rsidRPr="00E83FB4">
        <w:rPr>
          <w:color w:val="000000"/>
        </w:rPr>
        <w:t>, 2013</w:t>
      </w:r>
    </w:p>
    <w:p w14:paraId="498CBA69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E83FB4">
        <w:rPr>
          <w:color w:val="000000"/>
        </w:rPr>
        <w:t>Yin</w:t>
      </w:r>
      <w:proofErr w:type="spellEnd"/>
      <w:r w:rsidRPr="00E83FB4">
        <w:rPr>
          <w:color w:val="000000"/>
        </w:rPr>
        <w:t xml:space="preserve">, Robert K.: </w:t>
      </w:r>
      <w:proofErr w:type="spellStart"/>
      <w:r w:rsidRPr="00E83FB4">
        <w:rPr>
          <w:color w:val="000000"/>
        </w:rPr>
        <w:t>Qualitative</w:t>
      </w:r>
      <w:proofErr w:type="spellEnd"/>
      <w:r w:rsidRPr="00E83FB4">
        <w:rPr>
          <w:color w:val="000000"/>
        </w:rPr>
        <w:t xml:space="preserve"> Research </w:t>
      </w:r>
      <w:proofErr w:type="spellStart"/>
      <w:r w:rsidRPr="00E83FB4">
        <w:rPr>
          <w:color w:val="000000"/>
        </w:rPr>
        <w:t>from</w:t>
      </w:r>
      <w:proofErr w:type="spellEnd"/>
      <w:r w:rsidRPr="00E83FB4">
        <w:rPr>
          <w:color w:val="000000"/>
        </w:rPr>
        <w:t xml:space="preserve"> Start </w:t>
      </w:r>
      <w:proofErr w:type="spellStart"/>
      <w:r w:rsidRPr="00E83FB4">
        <w:rPr>
          <w:color w:val="000000"/>
        </w:rPr>
        <w:t>to</w:t>
      </w:r>
      <w:proofErr w:type="spellEnd"/>
      <w:r w:rsidRPr="00E83FB4">
        <w:rPr>
          <w:color w:val="000000"/>
        </w:rPr>
        <w:t xml:space="preserve"> </w:t>
      </w:r>
      <w:proofErr w:type="spellStart"/>
      <w:r w:rsidRPr="00E83FB4">
        <w:rPr>
          <w:color w:val="000000"/>
        </w:rPr>
        <w:t>Finish</w:t>
      </w:r>
      <w:proofErr w:type="spellEnd"/>
      <w:r w:rsidRPr="00E83FB4">
        <w:rPr>
          <w:color w:val="000000"/>
        </w:rPr>
        <w:t xml:space="preserve">, The </w:t>
      </w:r>
      <w:proofErr w:type="spellStart"/>
      <w:r w:rsidRPr="00E83FB4">
        <w:rPr>
          <w:color w:val="000000"/>
        </w:rPr>
        <w:t>Guilford</w:t>
      </w:r>
      <w:proofErr w:type="spellEnd"/>
      <w:r w:rsidRPr="00E83FB4">
        <w:rPr>
          <w:color w:val="000000"/>
        </w:rPr>
        <w:t xml:space="preserve"> Press, 2011</w:t>
      </w:r>
    </w:p>
    <w:p w14:paraId="36D81E8B" w14:textId="77777777" w:rsidR="00F75FC1" w:rsidRPr="00E83FB4" w:rsidRDefault="00F75FC1" w:rsidP="00F75FC1">
      <w:pPr>
        <w:pStyle w:val="NormlWeb"/>
        <w:spacing w:before="0" w:beforeAutospacing="0" w:after="0" w:afterAutospacing="0" w:line="276" w:lineRule="auto"/>
      </w:pPr>
      <w:r w:rsidRPr="00E83FB4">
        <w:rPr>
          <w:color w:val="000000"/>
        </w:rPr>
        <w:t>Jakab András – Sebők Miklós (szerk.) Empirikus jogi kutatások, Budapest: Osiris, MTA Társadalomtudományi Kutatóközpont (2020)</w:t>
      </w:r>
    </w:p>
    <w:p w14:paraId="0F45C2EB" w14:textId="0253702A" w:rsidR="00F75FC1" w:rsidRDefault="00F75FC1" w:rsidP="00F75FC1">
      <w:pPr>
        <w:ind w:firstLine="360"/>
        <w:jc w:val="both"/>
        <w:rPr>
          <w:rFonts w:ascii="Times New Roman" w:hAnsi="Times New Roman"/>
          <w:b/>
          <w:bCs/>
          <w:color w:val="auto"/>
          <w:lang w:val="hu-HU"/>
        </w:rPr>
      </w:pPr>
    </w:p>
    <w:sectPr w:rsidR="00F75FC1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276C" w14:textId="77777777" w:rsidR="002C6DAB" w:rsidRDefault="002C6DAB">
      <w:r>
        <w:separator/>
      </w:r>
    </w:p>
  </w:endnote>
  <w:endnote w:type="continuationSeparator" w:id="0">
    <w:p w14:paraId="5ACE8361" w14:textId="77777777" w:rsidR="002C6DAB" w:rsidRDefault="002C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048865"/>
      <w:docPartObj>
        <w:docPartGallery w:val="Page Numbers (Bottom of Page)"/>
        <w:docPartUnique/>
      </w:docPartObj>
    </w:sdtPr>
    <w:sdtContent>
      <w:p w14:paraId="4AAD8959" w14:textId="441F9A92" w:rsidR="00263864" w:rsidRDefault="002638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BA9FC73" w14:textId="77777777" w:rsidR="000D7BF6" w:rsidRDefault="000D7BF6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DA00" w14:textId="77777777" w:rsidR="002C6DAB" w:rsidRDefault="002C6DAB">
      <w:r>
        <w:separator/>
      </w:r>
    </w:p>
  </w:footnote>
  <w:footnote w:type="continuationSeparator" w:id="0">
    <w:p w14:paraId="7AA3DF2A" w14:textId="77777777" w:rsidR="002C6DAB" w:rsidRDefault="002C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194"/>
    <w:multiLevelType w:val="hybridMultilevel"/>
    <w:tmpl w:val="AAB6A1AA"/>
    <w:numStyleLink w:val="Szmmaljellt"/>
  </w:abstractNum>
  <w:abstractNum w:abstractNumId="1" w15:restartNumberingAfterBreak="0">
    <w:nsid w:val="508E0E63"/>
    <w:multiLevelType w:val="hybridMultilevel"/>
    <w:tmpl w:val="D1D8CFAE"/>
    <w:numStyleLink w:val="Importlt1stlus"/>
  </w:abstractNum>
  <w:abstractNum w:abstractNumId="2" w15:restartNumberingAfterBreak="0">
    <w:nsid w:val="61BA63B8"/>
    <w:multiLevelType w:val="hybridMultilevel"/>
    <w:tmpl w:val="AAB6A1AA"/>
    <w:styleLink w:val="Szmmaljellt"/>
    <w:lvl w:ilvl="0" w:tplc="9A648A6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4FCF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68C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C779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BE3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4595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0C50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C05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83FB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4242BC"/>
    <w:multiLevelType w:val="hybridMultilevel"/>
    <w:tmpl w:val="D1D8CFAE"/>
    <w:styleLink w:val="Importlt1stlus"/>
    <w:lvl w:ilvl="0" w:tplc="CCA440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ED3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C51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8B95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0A9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0EA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FE051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CD6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006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6228247">
    <w:abstractNumId w:val="2"/>
  </w:num>
  <w:num w:numId="2" w16cid:durableId="1192261845">
    <w:abstractNumId w:val="0"/>
  </w:num>
  <w:num w:numId="3" w16cid:durableId="2130735176">
    <w:abstractNumId w:val="3"/>
  </w:num>
  <w:num w:numId="4" w16cid:durableId="153769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F6"/>
    <w:rsid w:val="00002FB9"/>
    <w:rsid w:val="000433CA"/>
    <w:rsid w:val="000D7BF6"/>
    <w:rsid w:val="001626C9"/>
    <w:rsid w:val="00221016"/>
    <w:rsid w:val="00263864"/>
    <w:rsid w:val="002C6DAB"/>
    <w:rsid w:val="004B1870"/>
    <w:rsid w:val="004F185B"/>
    <w:rsid w:val="00533199"/>
    <w:rsid w:val="005F2CA5"/>
    <w:rsid w:val="00731CB2"/>
    <w:rsid w:val="007C2F4B"/>
    <w:rsid w:val="009E56A2"/>
    <w:rsid w:val="00B24224"/>
    <w:rsid w:val="00B36DB9"/>
    <w:rsid w:val="00B75F88"/>
    <w:rsid w:val="00CB59D6"/>
    <w:rsid w:val="00F75FC1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C76"/>
  <w15:docId w15:val="{49E59588-53F3-4974-BA0F-CCFD2E2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numbering" w:customStyle="1" w:styleId="Szmmaljellt">
    <w:name w:val="Számmal jelölt"/>
    <w:pPr>
      <w:numPr>
        <w:numId w:val="1"/>
      </w:numPr>
    </w:pPr>
  </w:style>
  <w:style w:type="paragraph" w:styleId="Listaszerbekezds">
    <w:name w:val="List Paragraph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lang w:val="en-US"/>
    </w:rPr>
  </w:style>
  <w:style w:type="numbering" w:customStyle="1" w:styleId="Importlt1stlus">
    <w:name w:val="Importált 1 stílus"/>
    <w:pPr>
      <w:numPr>
        <w:numId w:val="3"/>
      </w:numPr>
    </w:pPr>
  </w:style>
  <w:style w:type="character" w:customStyle="1" w:styleId="NoneA">
    <w:name w:val="None A"/>
    <w:basedOn w:val="Egyiksem"/>
    <w:rPr>
      <w:lang w:val="en-US"/>
    </w:rPr>
  </w:style>
  <w:style w:type="character" w:customStyle="1" w:styleId="Hyperlink0">
    <w:name w:val="Hyperlink.0"/>
    <w:basedOn w:val="Egyiksem"/>
    <w:rPr>
      <w:outline w:val="0"/>
      <w:color w:val="0000FF"/>
      <w:u w:val="single" w:color="0000FF"/>
    </w:rPr>
  </w:style>
  <w:style w:type="character" w:customStyle="1" w:styleId="Hyperlink1">
    <w:name w:val="Hyperlink.1"/>
    <w:basedOn w:val="Egyiksem"/>
    <w:rPr>
      <w:u w:val="single" w:color="767171"/>
    </w:rPr>
  </w:style>
  <w:style w:type="character" w:customStyle="1" w:styleId="Hyperlink2">
    <w:name w:val="Hyperlink.2"/>
    <w:basedOn w:val="Egyiksem"/>
    <w:rPr>
      <w:outline w:val="0"/>
      <w:color w:val="000000"/>
      <w:u w:val="single"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3">
    <w:name w:val="Hyperlink.3"/>
    <w:basedOn w:val="Link"/>
    <w:rPr>
      <w:outline w:val="0"/>
      <w:color w:val="0563C1"/>
      <w:u w:val="single" w:color="000000"/>
    </w:rPr>
  </w:style>
  <w:style w:type="paragraph" w:styleId="lfej">
    <w:name w:val="header"/>
    <w:basedOn w:val="Norml"/>
    <w:link w:val="lfejChar"/>
    <w:uiPriority w:val="99"/>
    <w:unhideWhenUsed/>
    <w:rsid w:val="002638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864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2638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864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NormlWeb">
    <w:name w:val="Normal (Web)"/>
    <w:basedOn w:val="Norml"/>
    <w:uiPriority w:val="99"/>
    <w:unhideWhenUsed/>
    <w:rsid w:val="00F75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2011_0001_537_Tudomanyfilozofia/ch0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ozofia.bme.hu/sites/default/files/Gulyas_et_al_Bevezetes_a_tudomanyfilozofiab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ankonyvtar.hu/hu/tartalom/tamop425/2011_0001_537_Tudomanyfilozofia/ch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ps.elte.hu/~kutrovatz/tudfil/03_popper1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Fazekas Marianna</cp:lastModifiedBy>
  <cp:revision>6</cp:revision>
  <dcterms:created xsi:type="dcterms:W3CDTF">2023-02-14T15:23:00Z</dcterms:created>
  <dcterms:modified xsi:type="dcterms:W3CDTF">2023-03-01T15:47:00Z</dcterms:modified>
</cp:coreProperties>
</file>