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49C" w14:textId="77777777" w:rsidR="00D00A00" w:rsidRPr="00EE78E1" w:rsidRDefault="00D00A00" w:rsidP="00D00A00">
      <w:pPr>
        <w:jc w:val="center"/>
        <w:rPr>
          <w:b/>
          <w:bCs/>
          <w:sz w:val="24"/>
          <w:szCs w:val="24"/>
        </w:rPr>
      </w:pPr>
      <w:r w:rsidRPr="00EE78E1">
        <w:rPr>
          <w:b/>
          <w:bCs/>
          <w:sz w:val="24"/>
          <w:szCs w:val="24"/>
        </w:rPr>
        <w:t>Hipotetikus eset – TRIIAL workshop 2022. március 11.</w:t>
      </w:r>
    </w:p>
    <w:p w14:paraId="5DDA8404" w14:textId="77777777" w:rsidR="00D00A00" w:rsidRDefault="00D00A00" w:rsidP="00D00A00">
      <w:pPr>
        <w:jc w:val="both"/>
        <w:rPr>
          <w:sz w:val="24"/>
          <w:szCs w:val="24"/>
        </w:rPr>
      </w:pPr>
    </w:p>
    <w:p w14:paraId="23076426" w14:textId="77777777" w:rsidR="00D00A00" w:rsidRDefault="00D00A00" w:rsidP="00D00A00">
      <w:pPr>
        <w:jc w:val="both"/>
        <w:rPr>
          <w:sz w:val="24"/>
          <w:szCs w:val="24"/>
        </w:rPr>
      </w:pPr>
      <w:r w:rsidRPr="00710FA0">
        <w:rPr>
          <w:sz w:val="24"/>
          <w:szCs w:val="24"/>
        </w:rPr>
        <w:t xml:space="preserve">Az elsőfokú bíróság bűnösnek </w:t>
      </w:r>
      <w:r>
        <w:rPr>
          <w:sz w:val="24"/>
          <w:szCs w:val="24"/>
        </w:rPr>
        <w:t>talált</w:t>
      </w:r>
      <w:r w:rsidRPr="00710FA0">
        <w:rPr>
          <w:sz w:val="24"/>
          <w:szCs w:val="24"/>
        </w:rPr>
        <w:t xml:space="preserve"> </w:t>
      </w:r>
      <w:r>
        <w:rPr>
          <w:sz w:val="24"/>
          <w:szCs w:val="24"/>
        </w:rPr>
        <w:t>egy</w:t>
      </w:r>
      <w:r w:rsidRPr="00710FA0">
        <w:rPr>
          <w:sz w:val="24"/>
          <w:szCs w:val="24"/>
        </w:rPr>
        <w:t xml:space="preserve"> országgyűlési képviselőt folytatólagosan elkövetett hűtlen kezelés miatt, </w:t>
      </w:r>
      <w:r>
        <w:rPr>
          <w:sz w:val="24"/>
          <w:szCs w:val="24"/>
        </w:rPr>
        <w:t>ezekkel a</w:t>
      </w:r>
      <w:r w:rsidRPr="00710FA0">
        <w:rPr>
          <w:sz w:val="24"/>
          <w:szCs w:val="24"/>
        </w:rPr>
        <w:t xml:space="preserve"> cselekményekkel a </w:t>
      </w:r>
      <w:r>
        <w:rPr>
          <w:sz w:val="24"/>
          <w:szCs w:val="24"/>
        </w:rPr>
        <w:t>képviselő az ítélet szerint</w:t>
      </w:r>
      <w:r w:rsidRPr="00710FA0">
        <w:rPr>
          <w:sz w:val="24"/>
          <w:szCs w:val="24"/>
        </w:rPr>
        <w:t xml:space="preserve"> az EU pénzügyi érdekeit is megsértette. Miközben </w:t>
      </w:r>
      <w:r>
        <w:rPr>
          <w:sz w:val="24"/>
          <w:szCs w:val="24"/>
        </w:rPr>
        <w:t xml:space="preserve">a büntetőeljárás a </w:t>
      </w:r>
      <w:r w:rsidRPr="00710FA0">
        <w:rPr>
          <w:sz w:val="24"/>
          <w:szCs w:val="24"/>
        </w:rPr>
        <w:t xml:space="preserve">másodfokú </w:t>
      </w:r>
      <w:r>
        <w:rPr>
          <w:sz w:val="24"/>
          <w:szCs w:val="24"/>
        </w:rPr>
        <w:t xml:space="preserve">bíróság </w:t>
      </w:r>
      <w:r w:rsidRPr="00710FA0">
        <w:rPr>
          <w:sz w:val="24"/>
          <w:szCs w:val="24"/>
        </w:rPr>
        <w:t xml:space="preserve">előtt folyamatban volt, a parlament új törvényt fogadott el azzal a </w:t>
      </w:r>
      <w:r>
        <w:rPr>
          <w:sz w:val="24"/>
          <w:szCs w:val="24"/>
        </w:rPr>
        <w:t xml:space="preserve">deklarált </w:t>
      </w:r>
      <w:r w:rsidRPr="00710FA0">
        <w:rPr>
          <w:sz w:val="24"/>
          <w:szCs w:val="24"/>
        </w:rPr>
        <w:t xml:space="preserve">céllal, hogy elősegítse az Unió pénzügyi érdekeinek hatékonyabb védelmét. A törvény az ítélkezés időszerűségének javítása érdekében elrendelte, hogy </w:t>
      </w:r>
      <w:r>
        <w:rPr>
          <w:sz w:val="24"/>
          <w:szCs w:val="24"/>
        </w:rPr>
        <w:t xml:space="preserve">az </w:t>
      </w:r>
      <w:r w:rsidRPr="00710FA0">
        <w:rPr>
          <w:sz w:val="24"/>
          <w:szCs w:val="24"/>
        </w:rPr>
        <w:t xml:space="preserve">EU pénzügyi érdekeinek sérelmét felvető ügyekben speciális, csak ilyen ügyeket tárgyaló </w:t>
      </w:r>
      <w:r>
        <w:rPr>
          <w:sz w:val="24"/>
          <w:szCs w:val="24"/>
        </w:rPr>
        <w:t xml:space="preserve">bírói </w:t>
      </w:r>
      <w:r w:rsidRPr="00710FA0">
        <w:rPr>
          <w:sz w:val="24"/>
          <w:szCs w:val="24"/>
        </w:rPr>
        <w:t>tanácsok járjanak el, és felhatalmazta az igazságügyi minisztert, hogy kijelölje eze</w:t>
      </w:r>
      <w:r>
        <w:rPr>
          <w:sz w:val="24"/>
          <w:szCs w:val="24"/>
        </w:rPr>
        <w:t>knek a</w:t>
      </w:r>
      <w:r w:rsidRPr="00710FA0">
        <w:rPr>
          <w:sz w:val="24"/>
          <w:szCs w:val="24"/>
        </w:rPr>
        <w:t xml:space="preserve"> speciális tanácsok</w:t>
      </w:r>
      <w:r>
        <w:rPr>
          <w:sz w:val="24"/>
          <w:szCs w:val="24"/>
        </w:rPr>
        <w:t>nak a</w:t>
      </w:r>
      <w:r w:rsidRPr="00710FA0">
        <w:rPr>
          <w:sz w:val="24"/>
          <w:szCs w:val="24"/>
        </w:rPr>
        <w:t xml:space="preserve"> bíróit. </w:t>
      </w:r>
      <w:r w:rsidRPr="00F95AD0">
        <w:rPr>
          <w:sz w:val="24"/>
          <w:szCs w:val="24"/>
        </w:rPr>
        <w:t xml:space="preserve">A törvény azt is kimondta, hogy </w:t>
      </w:r>
      <w:r>
        <w:rPr>
          <w:sz w:val="24"/>
          <w:szCs w:val="24"/>
        </w:rPr>
        <w:t>az új rendelkezéseket</w:t>
      </w:r>
      <w:r w:rsidRPr="00F95AD0">
        <w:rPr>
          <w:sz w:val="24"/>
          <w:szCs w:val="24"/>
        </w:rPr>
        <w:t xml:space="preserve"> folyamatban lévő ügyekre is alkalmazni kell. </w:t>
      </w:r>
    </w:p>
    <w:p w14:paraId="6D99BF59" w14:textId="77777777" w:rsidR="00D00A00" w:rsidRPr="00710FA0" w:rsidRDefault="00D00A00" w:rsidP="00D00A00">
      <w:pPr>
        <w:jc w:val="both"/>
        <w:rPr>
          <w:sz w:val="24"/>
          <w:szCs w:val="24"/>
        </w:rPr>
      </w:pPr>
      <w:r w:rsidRPr="00710FA0">
        <w:rPr>
          <w:sz w:val="24"/>
          <w:szCs w:val="24"/>
        </w:rPr>
        <w:t xml:space="preserve">Az igazságügyi miniszter az alapügyben </w:t>
      </w:r>
      <w:r>
        <w:rPr>
          <w:sz w:val="24"/>
          <w:szCs w:val="24"/>
        </w:rPr>
        <w:t>eljáró</w:t>
      </w:r>
      <w:r w:rsidRPr="00710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másodfokú </w:t>
      </w:r>
      <w:r w:rsidRPr="00710FA0">
        <w:rPr>
          <w:sz w:val="24"/>
          <w:szCs w:val="24"/>
        </w:rPr>
        <w:t>bíróság</w:t>
      </w:r>
      <w:r>
        <w:rPr>
          <w:sz w:val="24"/>
          <w:szCs w:val="24"/>
        </w:rPr>
        <w:t xml:space="preserve"> új, speciális tanácsába</w:t>
      </w:r>
      <w:r w:rsidRPr="00710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elsőfokú </w:t>
      </w:r>
      <w:r w:rsidRPr="00710FA0">
        <w:rPr>
          <w:sz w:val="24"/>
          <w:szCs w:val="24"/>
        </w:rPr>
        <w:t>bíróság</w:t>
      </w:r>
      <w:r>
        <w:rPr>
          <w:sz w:val="24"/>
          <w:szCs w:val="24"/>
        </w:rPr>
        <w:t>ról rendelt ki bírókat</w:t>
      </w:r>
      <w:r w:rsidRPr="00710FA0">
        <w:rPr>
          <w:sz w:val="24"/>
          <w:szCs w:val="24"/>
        </w:rPr>
        <w:t xml:space="preserve">. A szóban forgó jogszabály nem rendelkezett a kirendelés időtartamáról, a kirendelést pedig a miniszter bármikor megszüntethette. Az ügyelosztás változásait a másodfokú bíróság ügyelosztási rendjében feltüntették, és azt a bíróság honlapján elérhetővé tették. </w:t>
      </w:r>
    </w:p>
    <w:p w14:paraId="3E4EA65A" w14:textId="77777777" w:rsidR="00D00A00" w:rsidRPr="00710FA0" w:rsidRDefault="00D00A00" w:rsidP="00D00A00">
      <w:pPr>
        <w:jc w:val="both"/>
        <w:rPr>
          <w:sz w:val="24"/>
          <w:szCs w:val="24"/>
        </w:rPr>
      </w:pPr>
      <w:r w:rsidRPr="00710FA0">
        <w:rPr>
          <w:sz w:val="24"/>
          <w:szCs w:val="24"/>
        </w:rPr>
        <w:t xml:space="preserve">Az eredetileg hatáskörrel rendelkező másodfokú tanács </w:t>
      </w:r>
      <w:r>
        <w:rPr>
          <w:sz w:val="24"/>
          <w:szCs w:val="24"/>
        </w:rPr>
        <w:t xml:space="preserve">azonban mielőtt áttette volna az ügyet az új tanácshoz, </w:t>
      </w:r>
      <w:r w:rsidRPr="00710FA0">
        <w:rPr>
          <w:sz w:val="24"/>
          <w:szCs w:val="24"/>
        </w:rPr>
        <w:t xml:space="preserve">előzetes döntéshozatal iránti kérelmet terjesztett elő az Európai Unió Bíróságához, amelyben arra kérdezett rá, vajon összeegyeztethető-e az uniós joggal és a bírói függetlenség elvével az új szabályozás, és vajon </w:t>
      </w:r>
      <w:r>
        <w:rPr>
          <w:sz w:val="24"/>
          <w:szCs w:val="24"/>
        </w:rPr>
        <w:t xml:space="preserve">az új, speciális </w:t>
      </w:r>
      <w:r w:rsidRPr="00710FA0">
        <w:rPr>
          <w:sz w:val="24"/>
          <w:szCs w:val="24"/>
        </w:rPr>
        <w:t xml:space="preserve">tanács tekinthető-e az uniós jog alapján törvény által létrehozott független és pártatlan bíróságnak. Ezzel egyidejűleg </w:t>
      </w:r>
      <w:r>
        <w:rPr>
          <w:sz w:val="24"/>
          <w:szCs w:val="24"/>
        </w:rPr>
        <w:t xml:space="preserve">az előzetes kérdést előterjesztő </w:t>
      </w:r>
      <w:r w:rsidRPr="00710FA0">
        <w:rPr>
          <w:sz w:val="24"/>
          <w:szCs w:val="24"/>
        </w:rPr>
        <w:t>bírói tanács</w:t>
      </w:r>
      <w:r>
        <w:rPr>
          <w:sz w:val="24"/>
          <w:szCs w:val="24"/>
        </w:rPr>
        <w:t>,</w:t>
      </w:r>
      <w:r w:rsidRPr="00710FA0">
        <w:rPr>
          <w:sz w:val="24"/>
          <w:szCs w:val="24"/>
        </w:rPr>
        <w:t xml:space="preserve"> hasonló érveléssel</w:t>
      </w:r>
      <w:r>
        <w:rPr>
          <w:sz w:val="24"/>
          <w:szCs w:val="24"/>
        </w:rPr>
        <w:t>,</w:t>
      </w:r>
      <w:r w:rsidRPr="00710FA0">
        <w:rPr>
          <w:sz w:val="24"/>
          <w:szCs w:val="24"/>
        </w:rPr>
        <w:t xml:space="preserve"> az Alkotmánybíróság előtt is megtámadta az új jogszabály rendelkezéseit. Mielőtt az EUB döntött volna az előzetes döntéshozatali indítványról, az Alkotmánybíróság meghozta határozatát és elutasította </w:t>
      </w:r>
      <w:r>
        <w:rPr>
          <w:sz w:val="24"/>
          <w:szCs w:val="24"/>
        </w:rPr>
        <w:t xml:space="preserve">az </w:t>
      </w:r>
      <w:r w:rsidRPr="00710FA0">
        <w:rPr>
          <w:sz w:val="24"/>
          <w:szCs w:val="24"/>
        </w:rPr>
        <w:t>alkotmányossági kifogás</w:t>
      </w:r>
      <w:r>
        <w:rPr>
          <w:sz w:val="24"/>
          <w:szCs w:val="24"/>
        </w:rPr>
        <w:t>okat</w:t>
      </w:r>
      <w:r w:rsidRPr="00710FA0">
        <w:rPr>
          <w:sz w:val="24"/>
          <w:szCs w:val="24"/>
        </w:rPr>
        <w:t>.</w:t>
      </w:r>
    </w:p>
    <w:p w14:paraId="6A50AF9F" w14:textId="77777777" w:rsidR="00D00A00" w:rsidRPr="00710FA0" w:rsidRDefault="00D00A00" w:rsidP="00D00A00">
      <w:pPr>
        <w:jc w:val="both"/>
        <w:rPr>
          <w:sz w:val="24"/>
          <w:szCs w:val="24"/>
        </w:rPr>
      </w:pPr>
      <w:r w:rsidRPr="00710FA0">
        <w:rPr>
          <w:sz w:val="24"/>
          <w:szCs w:val="24"/>
        </w:rPr>
        <w:t xml:space="preserve">Miután másodfokon a bíróság felmentette az országgyűlési képviselőt, és a felmentő ítéletet a rendkívüli jogorvoslati kérelem alapján eljáró bírói tanács is hatályában fenntartotta, egy internetes </w:t>
      </w:r>
      <w:r>
        <w:rPr>
          <w:sz w:val="24"/>
          <w:szCs w:val="24"/>
        </w:rPr>
        <w:t xml:space="preserve">portál </w:t>
      </w:r>
      <w:r w:rsidRPr="00710FA0">
        <w:rPr>
          <w:sz w:val="24"/>
          <w:szCs w:val="24"/>
        </w:rPr>
        <w:t>kritikus hangvételű cikket közölt az ügyről, amelyben a bíróságokat ért politikai nyomásgyakorlásként értékelte az eljáró bírói tanácsok megváltozását és a büntetőeljárás eredményét. A másodfokú bíróság egyik bírója, aki másik ügyszakban ítélkezett, így az alapügyben nem járt el, saját Facebook profilján megosztotta a szóban forgó újságcikket. A cikkhez semmilyen további megjegyzést nem fűzött. A</w:t>
      </w:r>
      <w:r>
        <w:rPr>
          <w:sz w:val="24"/>
          <w:szCs w:val="24"/>
        </w:rPr>
        <w:t xml:space="preserve"> cikk megosztása miatt </w:t>
      </w:r>
      <w:r w:rsidRPr="00710FA0">
        <w:rPr>
          <w:sz w:val="24"/>
          <w:szCs w:val="24"/>
        </w:rPr>
        <w:t xml:space="preserve">a bíró ellen fegyelmi eljárás indult, </w:t>
      </w:r>
      <w:r>
        <w:rPr>
          <w:sz w:val="24"/>
          <w:szCs w:val="24"/>
        </w:rPr>
        <w:t xml:space="preserve">ennek során a bíróra </w:t>
      </w:r>
      <w:r w:rsidRPr="00710FA0">
        <w:rPr>
          <w:sz w:val="24"/>
          <w:szCs w:val="24"/>
        </w:rPr>
        <w:t xml:space="preserve">egy fizetési fokozattal való visszavetés fegyelmi büntetést szabtak ki. </w:t>
      </w:r>
    </w:p>
    <w:p w14:paraId="346E5A4D" w14:textId="77777777" w:rsidR="00D00A00" w:rsidRPr="00EE78E1" w:rsidRDefault="00D00A00" w:rsidP="00D00A00">
      <w:pPr>
        <w:rPr>
          <w:b/>
          <w:bCs/>
        </w:rPr>
      </w:pPr>
    </w:p>
    <w:p w14:paraId="088B1943" w14:textId="77777777" w:rsidR="00D00A00" w:rsidRPr="00EE78E1" w:rsidRDefault="00D00A00" w:rsidP="00D00A00">
      <w:pPr>
        <w:rPr>
          <w:b/>
          <w:bCs/>
          <w:sz w:val="24"/>
          <w:szCs w:val="24"/>
        </w:rPr>
      </w:pPr>
      <w:r w:rsidRPr="00EE78E1">
        <w:rPr>
          <w:b/>
          <w:bCs/>
          <w:sz w:val="24"/>
          <w:szCs w:val="24"/>
        </w:rPr>
        <w:t>Hasznos források:</w:t>
      </w:r>
    </w:p>
    <w:p w14:paraId="5B54D849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4B1FC6">
          <w:rPr>
            <w:rStyle w:val="Hiperhivatkozs"/>
            <w:sz w:val="24"/>
            <w:szCs w:val="24"/>
          </w:rPr>
          <w:t>C-585/18</w:t>
        </w:r>
      </w:hyperlink>
      <w:r>
        <w:rPr>
          <w:sz w:val="24"/>
          <w:szCs w:val="24"/>
        </w:rPr>
        <w:t xml:space="preserve"> - </w:t>
      </w:r>
      <w:r w:rsidRPr="000A7D2B">
        <w:rPr>
          <w:sz w:val="24"/>
          <w:szCs w:val="24"/>
        </w:rPr>
        <w:t xml:space="preserve">A. K. és társai kontra </w:t>
      </w:r>
      <w:proofErr w:type="spellStart"/>
      <w:r w:rsidRPr="000A7D2B">
        <w:rPr>
          <w:sz w:val="24"/>
          <w:szCs w:val="24"/>
        </w:rPr>
        <w:t>Sąd</w:t>
      </w:r>
      <w:proofErr w:type="spellEnd"/>
      <w:r w:rsidRPr="000A7D2B">
        <w:rPr>
          <w:sz w:val="24"/>
          <w:szCs w:val="24"/>
        </w:rPr>
        <w:t xml:space="preserve"> </w:t>
      </w:r>
      <w:proofErr w:type="spellStart"/>
      <w:r w:rsidRPr="000A7D2B">
        <w:rPr>
          <w:sz w:val="24"/>
          <w:szCs w:val="24"/>
        </w:rPr>
        <w:t>Najwyższy</w:t>
      </w:r>
      <w:proofErr w:type="spellEnd"/>
      <w:r>
        <w:rPr>
          <w:sz w:val="24"/>
          <w:szCs w:val="24"/>
        </w:rPr>
        <w:t xml:space="preserve">, </w:t>
      </w:r>
      <w:r w:rsidRPr="000A7D2B">
        <w:rPr>
          <w:sz w:val="24"/>
          <w:szCs w:val="24"/>
        </w:rPr>
        <w:t>A Bíróság (nagytanács), 2019. november 19</w:t>
      </w:r>
      <w:r>
        <w:rPr>
          <w:sz w:val="24"/>
          <w:szCs w:val="24"/>
        </w:rPr>
        <w:t>-i ítélete</w:t>
      </w:r>
    </w:p>
    <w:p w14:paraId="60FA4428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390BDA">
          <w:rPr>
            <w:rStyle w:val="Hiperhivatkozs"/>
            <w:sz w:val="24"/>
            <w:szCs w:val="24"/>
          </w:rPr>
          <w:t>C-74</w:t>
        </w:r>
        <w:r w:rsidRPr="00390BDA">
          <w:rPr>
            <w:rStyle w:val="Hiperhivatkozs"/>
            <w:sz w:val="24"/>
            <w:szCs w:val="24"/>
          </w:rPr>
          <w:t>8</w:t>
        </w:r>
        <w:r w:rsidRPr="00390BDA">
          <w:rPr>
            <w:rStyle w:val="Hiperhivatkozs"/>
            <w:sz w:val="24"/>
            <w:szCs w:val="24"/>
          </w:rPr>
          <w:t>/19</w:t>
        </w:r>
      </w:hyperlink>
      <w:r>
        <w:rPr>
          <w:sz w:val="24"/>
          <w:szCs w:val="24"/>
        </w:rPr>
        <w:t xml:space="preserve"> WB és társai elleni büntetőeljárás, </w:t>
      </w:r>
      <w:r w:rsidRPr="000A7D2B">
        <w:rPr>
          <w:sz w:val="24"/>
          <w:szCs w:val="24"/>
        </w:rPr>
        <w:t>A Bíróság (nagytanács) 2021. november 16-i ítélete</w:t>
      </w:r>
    </w:p>
    <w:p w14:paraId="7C1591FD" w14:textId="77777777" w:rsidR="00D00A00" w:rsidRPr="005D729C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A60E6B">
          <w:rPr>
            <w:rStyle w:val="Hiperhivatkozs"/>
            <w:sz w:val="24"/>
            <w:szCs w:val="24"/>
          </w:rPr>
          <w:t>C-357/19</w:t>
        </w:r>
      </w:hyperlink>
      <w:r w:rsidRPr="005D729C">
        <w:rPr>
          <w:sz w:val="24"/>
          <w:szCs w:val="24"/>
        </w:rPr>
        <w:t xml:space="preserve"> - Euro </w:t>
      </w:r>
      <w:proofErr w:type="spellStart"/>
      <w:r w:rsidRPr="005D729C">
        <w:rPr>
          <w:sz w:val="24"/>
          <w:szCs w:val="24"/>
        </w:rPr>
        <w:t>Box</w:t>
      </w:r>
      <w:proofErr w:type="spellEnd"/>
      <w:r w:rsidRPr="005D729C">
        <w:rPr>
          <w:sz w:val="24"/>
          <w:szCs w:val="24"/>
        </w:rPr>
        <w:t xml:space="preserve"> </w:t>
      </w:r>
      <w:proofErr w:type="spellStart"/>
      <w:r w:rsidRPr="005D729C">
        <w:rPr>
          <w:sz w:val="24"/>
          <w:szCs w:val="24"/>
        </w:rPr>
        <w:t>Promotion</w:t>
      </w:r>
      <w:proofErr w:type="spellEnd"/>
      <w:r w:rsidRPr="005D729C">
        <w:rPr>
          <w:sz w:val="24"/>
          <w:szCs w:val="24"/>
        </w:rPr>
        <w:t xml:space="preserve"> és társ</w:t>
      </w:r>
      <w:r>
        <w:rPr>
          <w:sz w:val="24"/>
          <w:szCs w:val="24"/>
        </w:rPr>
        <w:t xml:space="preserve">ai </w:t>
      </w:r>
      <w:r w:rsidRPr="005D729C">
        <w:rPr>
          <w:sz w:val="24"/>
          <w:szCs w:val="24"/>
        </w:rPr>
        <w:t>ügy</w:t>
      </w:r>
      <w:r>
        <w:rPr>
          <w:sz w:val="24"/>
          <w:szCs w:val="24"/>
        </w:rPr>
        <w:t>,</w:t>
      </w:r>
      <w:r w:rsidRPr="005D729C">
        <w:t xml:space="preserve"> </w:t>
      </w:r>
      <w:r w:rsidRPr="005D729C">
        <w:rPr>
          <w:sz w:val="24"/>
          <w:szCs w:val="24"/>
        </w:rPr>
        <w:t>A Bíróság ítélete (nagytanács), 2021. december 21.</w:t>
      </w:r>
    </w:p>
    <w:p w14:paraId="628E807B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1D2D49">
        <w:rPr>
          <w:sz w:val="24"/>
          <w:szCs w:val="24"/>
        </w:rPr>
        <w:t>Miracle</w:t>
      </w:r>
      <w:proofErr w:type="spellEnd"/>
      <w:r w:rsidRPr="001D2D49">
        <w:rPr>
          <w:sz w:val="24"/>
          <w:szCs w:val="24"/>
        </w:rPr>
        <w:t xml:space="preserve"> Europe Kft kontra Magyarország ügy, 57774/13, 2016. január 12.</w:t>
      </w:r>
    </w:p>
    <w:p w14:paraId="0FE3EC57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Kúria </w:t>
      </w:r>
      <w:r w:rsidRPr="00BB3692">
        <w:rPr>
          <w:sz w:val="24"/>
          <w:szCs w:val="24"/>
        </w:rPr>
        <w:t>Mfv.X.10.015/2020/4.</w:t>
      </w:r>
      <w:r>
        <w:rPr>
          <w:sz w:val="24"/>
          <w:szCs w:val="24"/>
        </w:rPr>
        <w:t xml:space="preserve"> számú ítélete</w:t>
      </w:r>
    </w:p>
    <w:p w14:paraId="35EE9089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358B6">
        <w:rPr>
          <w:sz w:val="24"/>
          <w:szCs w:val="24"/>
        </w:rPr>
        <w:t xml:space="preserve">Baka </w:t>
      </w:r>
      <w:r>
        <w:rPr>
          <w:sz w:val="24"/>
          <w:szCs w:val="24"/>
        </w:rPr>
        <w:t>kontra Magyarország ügy</w:t>
      </w:r>
      <w:r w:rsidRPr="003358B6">
        <w:rPr>
          <w:sz w:val="24"/>
          <w:szCs w:val="24"/>
        </w:rPr>
        <w:t>, 20261/12, 2016</w:t>
      </w:r>
      <w:r>
        <w:rPr>
          <w:sz w:val="24"/>
          <w:szCs w:val="24"/>
        </w:rPr>
        <w:t xml:space="preserve">. június 23. </w:t>
      </w:r>
    </w:p>
    <w:p w14:paraId="1C2BA3D3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Kozan</w:t>
      </w:r>
      <w:proofErr w:type="spellEnd"/>
      <w:r>
        <w:rPr>
          <w:sz w:val="24"/>
          <w:szCs w:val="24"/>
        </w:rPr>
        <w:t xml:space="preserve"> kontra Törökország ügy, 16695/19, 2022. március 1.</w:t>
      </w:r>
    </w:p>
    <w:p w14:paraId="51389724" w14:textId="77777777" w:rsidR="00D00A00" w:rsidRDefault="00D00A00" w:rsidP="00D00A00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56771A">
        <w:rPr>
          <w:sz w:val="24"/>
          <w:szCs w:val="24"/>
        </w:rPr>
        <w:t>Guide</w:t>
      </w:r>
      <w:proofErr w:type="spellEnd"/>
      <w:r w:rsidRPr="0056771A">
        <w:rPr>
          <w:sz w:val="24"/>
          <w:szCs w:val="24"/>
        </w:rPr>
        <w:t xml:space="preserve"> </w:t>
      </w:r>
      <w:proofErr w:type="spellStart"/>
      <w:r w:rsidRPr="0056771A">
        <w:rPr>
          <w:sz w:val="24"/>
          <w:szCs w:val="24"/>
        </w:rPr>
        <w:t>on</w:t>
      </w:r>
      <w:proofErr w:type="spellEnd"/>
      <w:r w:rsidRPr="0056771A">
        <w:rPr>
          <w:sz w:val="24"/>
          <w:szCs w:val="24"/>
        </w:rPr>
        <w:t xml:space="preserve"> </w:t>
      </w:r>
      <w:proofErr w:type="spellStart"/>
      <w:r w:rsidRPr="0056771A">
        <w:rPr>
          <w:sz w:val="24"/>
          <w:szCs w:val="24"/>
        </w:rPr>
        <w:t>Article</w:t>
      </w:r>
      <w:proofErr w:type="spellEnd"/>
      <w:r w:rsidRPr="0056771A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r w:rsidRPr="0056771A">
        <w:rPr>
          <w:sz w:val="24"/>
          <w:szCs w:val="24"/>
        </w:rPr>
        <w:t xml:space="preserve">of </w:t>
      </w:r>
      <w:proofErr w:type="spellStart"/>
      <w:r w:rsidRPr="0056771A">
        <w:rPr>
          <w:sz w:val="24"/>
          <w:szCs w:val="24"/>
        </w:rPr>
        <w:t>the</w:t>
      </w:r>
      <w:proofErr w:type="spellEnd"/>
      <w:r w:rsidRPr="0056771A">
        <w:rPr>
          <w:sz w:val="24"/>
          <w:szCs w:val="24"/>
        </w:rPr>
        <w:t xml:space="preserve"> European </w:t>
      </w:r>
      <w:proofErr w:type="spellStart"/>
      <w:r w:rsidRPr="0056771A">
        <w:rPr>
          <w:sz w:val="24"/>
          <w:szCs w:val="24"/>
        </w:rPr>
        <w:t>Convention</w:t>
      </w:r>
      <w:proofErr w:type="spellEnd"/>
      <w:r w:rsidRPr="0056771A">
        <w:rPr>
          <w:sz w:val="24"/>
          <w:szCs w:val="24"/>
        </w:rPr>
        <w:t xml:space="preserve"> </w:t>
      </w:r>
      <w:proofErr w:type="spellStart"/>
      <w:r w:rsidRPr="0056771A">
        <w:rPr>
          <w:sz w:val="24"/>
          <w:szCs w:val="24"/>
        </w:rPr>
        <w:t>on</w:t>
      </w:r>
      <w:proofErr w:type="spellEnd"/>
      <w:r w:rsidRPr="0056771A">
        <w:rPr>
          <w:sz w:val="24"/>
          <w:szCs w:val="24"/>
        </w:rPr>
        <w:t xml:space="preserve"> Human </w:t>
      </w:r>
      <w:proofErr w:type="spellStart"/>
      <w:r w:rsidRPr="0056771A"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Freedom</w:t>
      </w:r>
      <w:proofErr w:type="spellEnd"/>
      <w:r>
        <w:rPr>
          <w:sz w:val="24"/>
          <w:szCs w:val="24"/>
        </w:rPr>
        <w:t xml:space="preserve"> of Expression </w:t>
      </w:r>
      <w:hyperlink r:id="rId8" w:history="1">
        <w:r w:rsidRPr="0099453B">
          <w:rPr>
            <w:rStyle w:val="Hiperhivatkozs"/>
            <w:sz w:val="24"/>
            <w:szCs w:val="24"/>
          </w:rPr>
          <w:t>https://www.echr.coe.int/documents/guide_art_10_eng.pdf</w:t>
        </w:r>
      </w:hyperlink>
      <w:r>
        <w:rPr>
          <w:sz w:val="24"/>
          <w:szCs w:val="24"/>
        </w:rPr>
        <w:t xml:space="preserve"> - különös tekintettel a X. és XIII. fejezetekre, ahol további releváns esetek is megtalálhatók</w:t>
      </w:r>
    </w:p>
    <w:p w14:paraId="030B107B" w14:textId="77777777" w:rsidR="00D00A00" w:rsidRDefault="00D00A00" w:rsidP="00D00A00">
      <w:pPr>
        <w:rPr>
          <w:sz w:val="24"/>
          <w:szCs w:val="24"/>
        </w:rPr>
      </w:pPr>
    </w:p>
    <w:p w14:paraId="5A83EE56" w14:textId="77777777" w:rsidR="00D00A00" w:rsidRPr="00E172FC" w:rsidRDefault="00D00A00" w:rsidP="00D00A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E172FC">
        <w:rPr>
          <w:b/>
          <w:bCs/>
          <w:sz w:val="24"/>
          <w:szCs w:val="24"/>
        </w:rPr>
        <w:t>érdések a beszélgetéshez:</w:t>
      </w:r>
    </w:p>
    <w:p w14:paraId="125B472B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Vajon a tényállás az EU jog hatálya alá tartozik-e?</w:t>
      </w:r>
    </w:p>
    <w:p w14:paraId="52C5F2A5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 igen, milyen uniós jogi rendelkezések lehetnek relevánsak?</w:t>
      </w:r>
    </w:p>
    <w:p w14:paraId="0EFA7C5C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Befogadható-e az előzetes döntéshozatal iránti kérelem?</w:t>
      </w:r>
    </w:p>
    <w:p w14:paraId="3A8195C9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Milyen problémákat vet fel az új eljáró tanács a bírói függetlenség és a jogállamiság szempontjából?</w:t>
      </w:r>
    </w:p>
    <w:p w14:paraId="185C1AFC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Melyek lehetnek a releváns esetek az EUB gyakorlatából a szóban forgó jogi probléma megítélése során?</w:t>
      </w:r>
    </w:p>
    <w:p w14:paraId="2083FCA8" w14:textId="77777777" w:rsidR="00D00A00" w:rsidRDefault="00D00A00" w:rsidP="00D00A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Milyen jogi kérdéseket vet fel a bíró Facebook bejegyzése? </w:t>
      </w:r>
    </w:p>
    <w:p w14:paraId="1C67F9B2" w14:textId="77777777" w:rsidR="004C6B36" w:rsidRDefault="004C6B36"/>
    <w:sectPr w:rsidR="004C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6452"/>
    <w:multiLevelType w:val="hybridMultilevel"/>
    <w:tmpl w:val="D8048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4570"/>
    <w:multiLevelType w:val="hybridMultilevel"/>
    <w:tmpl w:val="53487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00"/>
    <w:rsid w:val="004C6B36"/>
    <w:rsid w:val="00D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88C"/>
  <w15:chartTrackingRefBased/>
  <w15:docId w15:val="{6826FD1D-0F4F-40E9-BC78-916DAF11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0A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A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00A0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0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r.coe.int/documents/guide_art_10_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ia.europa.eu/juris/document/document.jsf?text=&amp;docid=251504&amp;pageIndex=0&amp;doclang=HU&amp;mode=lst&amp;dir=&amp;occ=first&amp;part=1&amp;cid=279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U/TXT/?uri=CELEX:62019CJ0748" TargetMode="External"/><Relationship Id="rId5" Type="http://schemas.openxmlformats.org/officeDocument/2006/relationships/hyperlink" Target="https://eur-lex.europa.eu/legal-content/hu/TXT/?uri=CELEX:62018CJ05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Majtényi Balázs</dc:creator>
  <cp:keywords/>
  <dc:description/>
  <cp:lastModifiedBy>Majtényi Balázs</cp:lastModifiedBy>
  <cp:revision>1</cp:revision>
  <dcterms:created xsi:type="dcterms:W3CDTF">2022-03-11T09:06:00Z</dcterms:created>
  <dcterms:modified xsi:type="dcterms:W3CDTF">2022-03-11T09:07:00Z</dcterms:modified>
</cp:coreProperties>
</file>