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891ADA" w14:textId="77831850" w:rsidR="00067DEB" w:rsidRDefault="00BB2EDA" w:rsidP="00BB2EDA">
      <w:pPr>
        <w:tabs>
          <w:tab w:val="left" w:pos="142"/>
          <w:tab w:val="left" w:pos="5895"/>
        </w:tabs>
        <w:spacing w:line="276" w:lineRule="auto"/>
        <w:ind w:right="-1"/>
        <w:rPr>
          <w:rFonts w:ascii="Open Sans" w:hAnsi="Open Sans" w:cs="Open Sans"/>
          <w:noProof/>
          <w:sz w:val="22"/>
          <w:szCs w:val="30"/>
        </w:rPr>
      </w:pPr>
      <w:r>
        <w:rPr>
          <w:rFonts w:ascii="Open Sans" w:hAnsi="Open Sans" w:cs="Open Sans"/>
          <w:noProof/>
          <w:sz w:val="22"/>
          <w:szCs w:val="30"/>
        </w:rPr>
        <w:tab/>
      </w:r>
      <w:r>
        <w:rPr>
          <w:rFonts w:ascii="Open Sans" w:hAnsi="Open Sans" w:cs="Open Sans"/>
          <w:noProof/>
          <w:sz w:val="22"/>
          <w:szCs w:val="30"/>
        </w:rPr>
        <w:tab/>
      </w:r>
    </w:p>
    <w:p w14:paraId="155BC025" w14:textId="77777777" w:rsidR="00067DEB" w:rsidRDefault="00067DEB" w:rsidP="003C2496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noProof/>
          <w:sz w:val="22"/>
          <w:szCs w:val="30"/>
        </w:rPr>
      </w:pPr>
    </w:p>
    <w:p w14:paraId="6669DF14" w14:textId="77777777" w:rsidR="00067DEB" w:rsidRDefault="00067DEB" w:rsidP="003C2496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noProof/>
          <w:sz w:val="22"/>
          <w:szCs w:val="30"/>
        </w:rPr>
      </w:pPr>
    </w:p>
    <w:p w14:paraId="50106A97" w14:textId="7013B673" w:rsidR="000E7EEF" w:rsidRDefault="000E7EEF" w:rsidP="003C2496">
      <w:pPr>
        <w:tabs>
          <w:tab w:val="left" w:pos="142"/>
          <w:tab w:val="left" w:pos="4050"/>
          <w:tab w:val="left" w:pos="9498"/>
        </w:tabs>
        <w:spacing w:after="120" w:line="276" w:lineRule="auto"/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p w14:paraId="5D8575DC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b/>
          <w:bCs/>
          <w:color w:val="000000"/>
          <w:lang w:eastAsia="hu-HU"/>
        </w:rPr>
        <w:t>SZIGORLATI KÉRDÉSEK BÜNTETŐELJÁRÁSI JOGBÓL </w:t>
      </w:r>
    </w:p>
    <w:p w14:paraId="640768CA" w14:textId="14EFC922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b/>
          <w:bCs/>
          <w:color w:val="000000"/>
          <w:lang w:eastAsia="hu-HU"/>
        </w:rPr>
        <w:t>(202</w:t>
      </w:r>
      <w:r>
        <w:rPr>
          <w:rFonts w:ascii="Garamond" w:eastAsia="Times New Roman" w:hAnsi="Garamond" w:cs="Times New Roman"/>
          <w:b/>
          <w:bCs/>
          <w:color w:val="000000"/>
          <w:lang w:eastAsia="hu-HU"/>
        </w:rPr>
        <w:t>4</w:t>
      </w:r>
      <w:r w:rsidRPr="00D22818">
        <w:rPr>
          <w:rFonts w:ascii="Garamond" w:eastAsia="Times New Roman" w:hAnsi="Garamond" w:cs="Times New Roman"/>
          <w:b/>
          <w:bCs/>
          <w:color w:val="000000"/>
          <w:lang w:eastAsia="hu-HU"/>
        </w:rPr>
        <w:t>-től visszavonásig) </w:t>
      </w:r>
    </w:p>
    <w:p w14:paraId="0B4BEE7E" w14:textId="77777777" w:rsidR="00DA55E2" w:rsidRPr="00D22818" w:rsidRDefault="00DA55E2" w:rsidP="00DA55E2">
      <w:pPr>
        <w:spacing w:after="240"/>
        <w:rPr>
          <w:rFonts w:ascii="Times New Roman" w:eastAsia="Times New Roman" w:hAnsi="Times New Roman" w:cs="Times New Roman"/>
          <w:color w:val="000000"/>
          <w:lang w:eastAsia="hu-HU"/>
        </w:rPr>
      </w:pPr>
    </w:p>
    <w:p w14:paraId="7B091AD5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b/>
          <w:bCs/>
          <w:color w:val="000000"/>
          <w:lang w:eastAsia="hu-HU"/>
        </w:rPr>
        <w:t>„A” kérdések </w:t>
      </w:r>
    </w:p>
    <w:p w14:paraId="27574D06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</w:p>
    <w:p w14:paraId="5B32AB88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1. A büntetőeljárás alapfogalmai: a büntetőeljárás, a büntető eljárásjog; a büntetőeljárás feladata. A büntető eljárásjog forrásai és hatálya. </w:t>
      </w:r>
    </w:p>
    <w:p w14:paraId="41EB5DC4" w14:textId="77777777" w:rsidR="00DA55E2" w:rsidRDefault="00DA55E2" w:rsidP="00DA55E2">
      <w:pPr>
        <w:rPr>
          <w:rFonts w:ascii="Garamond" w:eastAsia="Times New Roman" w:hAnsi="Garamond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2. A büntetőeljárás történeti rendszerei. </w:t>
      </w:r>
    </w:p>
    <w:p w14:paraId="7D790E7A" w14:textId="5FBDFD5E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>
        <w:rPr>
          <w:rFonts w:ascii="Garamond" w:eastAsia="Times New Roman" w:hAnsi="Garamond" w:cs="Times New Roman"/>
          <w:color w:val="000000"/>
          <w:lang w:eastAsia="hu-HU"/>
        </w:rPr>
        <w:t>3. A kodifikált magyar büntető eljárásjog fejlődésének vázlata (189</w:t>
      </w:r>
      <w:r w:rsidR="00E26BA4">
        <w:rPr>
          <w:rFonts w:ascii="Garamond" w:eastAsia="Times New Roman" w:hAnsi="Garamond" w:cs="Times New Roman"/>
          <w:color w:val="000000"/>
          <w:lang w:eastAsia="hu-HU"/>
        </w:rPr>
        <w:t>6</w:t>
      </w:r>
      <w:r>
        <w:rPr>
          <w:rFonts w:ascii="Garamond" w:eastAsia="Times New Roman" w:hAnsi="Garamond" w:cs="Times New Roman"/>
          <w:color w:val="000000"/>
          <w:lang w:eastAsia="hu-HU"/>
        </w:rPr>
        <w:t>-tól a 2017. évi XC. törvényig).</w:t>
      </w:r>
    </w:p>
    <w:p w14:paraId="282D5C34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4. A büntetőeljárás formái: az általános, a külön, a különleges eljárások, és a büntetőeljáráshoz kapcsolódó egyéb eljárások rendszere. </w:t>
      </w:r>
    </w:p>
    <w:p w14:paraId="6F36F05C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5</w:t>
      </w:r>
      <w:r>
        <w:rPr>
          <w:rFonts w:ascii="Garamond" w:eastAsia="Times New Roman" w:hAnsi="Garamond" w:cs="Times New Roman"/>
          <w:color w:val="000000"/>
          <w:lang w:eastAsia="hu-HU"/>
        </w:rPr>
        <w:t>.</w:t>
      </w:r>
      <w:r w:rsidRPr="00D22818">
        <w:rPr>
          <w:rFonts w:ascii="Garamond" w:eastAsia="Times New Roman" w:hAnsi="Garamond" w:cs="Times New Roman"/>
          <w:color w:val="000000"/>
          <w:lang w:eastAsia="hu-HU"/>
        </w:rPr>
        <w:t xml:space="preserve"> A büntetőeljárás alapelvei. Az alapelvek fogalma, célja és jelentősége. Az alapelvek és az eljárási modell összefüggései. </w:t>
      </w:r>
    </w:p>
    <w:p w14:paraId="29AFDF7A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6.</w:t>
      </w:r>
      <w:r>
        <w:rPr>
          <w:rFonts w:ascii="Garamond" w:eastAsia="Times New Roman" w:hAnsi="Garamond" w:cs="Times New Roman"/>
          <w:color w:val="000000"/>
          <w:lang w:eastAsia="hu-HU"/>
        </w:rPr>
        <w:t xml:space="preserve"> </w:t>
      </w:r>
      <w:r w:rsidRPr="00D22818">
        <w:rPr>
          <w:rFonts w:ascii="Garamond" w:eastAsia="Times New Roman" w:hAnsi="Garamond" w:cs="Times New Roman"/>
          <w:color w:val="000000"/>
          <w:lang w:eastAsia="hu-HU"/>
        </w:rPr>
        <w:t xml:space="preserve">A hivatalból való eljárás elve: legalitás, </w:t>
      </w:r>
      <w:proofErr w:type="spellStart"/>
      <w:r w:rsidRPr="00D22818">
        <w:rPr>
          <w:rFonts w:ascii="Garamond" w:eastAsia="Times New Roman" w:hAnsi="Garamond" w:cs="Times New Roman"/>
          <w:color w:val="000000"/>
          <w:lang w:eastAsia="hu-HU"/>
        </w:rPr>
        <w:t>officialitás</w:t>
      </w:r>
      <w:proofErr w:type="spellEnd"/>
      <w:r w:rsidRPr="00D22818">
        <w:rPr>
          <w:rFonts w:ascii="Garamond" w:eastAsia="Times New Roman" w:hAnsi="Garamond" w:cs="Times New Roman"/>
          <w:color w:val="000000"/>
          <w:lang w:eastAsia="hu-HU"/>
        </w:rPr>
        <w:t xml:space="preserve">, </w:t>
      </w:r>
      <w:proofErr w:type="spellStart"/>
      <w:r w:rsidRPr="00D22818">
        <w:rPr>
          <w:rFonts w:ascii="Garamond" w:eastAsia="Times New Roman" w:hAnsi="Garamond" w:cs="Times New Roman"/>
          <w:color w:val="000000"/>
          <w:lang w:eastAsia="hu-HU"/>
        </w:rPr>
        <w:t>opportunitás</w:t>
      </w:r>
      <w:proofErr w:type="spellEnd"/>
      <w:r w:rsidRPr="00D22818">
        <w:rPr>
          <w:rFonts w:ascii="Garamond" w:eastAsia="Times New Roman" w:hAnsi="Garamond" w:cs="Times New Roman"/>
          <w:color w:val="000000"/>
          <w:lang w:eastAsia="hu-HU"/>
        </w:rPr>
        <w:t>. A büntetőeljárás alapja és akadályai. </w:t>
      </w:r>
    </w:p>
    <w:p w14:paraId="5B1D0E15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7.</w:t>
      </w:r>
      <w:r>
        <w:rPr>
          <w:rFonts w:ascii="Garamond" w:eastAsia="Times New Roman" w:hAnsi="Garamond" w:cs="Times New Roman"/>
          <w:color w:val="000000"/>
          <w:lang w:eastAsia="hu-HU"/>
        </w:rPr>
        <w:t xml:space="preserve"> </w:t>
      </w:r>
      <w:r w:rsidRPr="00D22818">
        <w:rPr>
          <w:rFonts w:ascii="Garamond" w:eastAsia="Times New Roman" w:hAnsi="Garamond" w:cs="Times New Roman"/>
          <w:color w:val="000000"/>
          <w:lang w:eastAsia="hu-HU"/>
        </w:rPr>
        <w:t>A bírósági eljárás alapja; jog a bírósági eljáráshoz. Az ártatlanság vélelme; a bizonyítás teher; az önvádra kötelezés tilalma. A tisztességes eljárás elve; a bírósági eljárás alapelvei; az anyanyelv használatának elve. </w:t>
      </w:r>
    </w:p>
    <w:p w14:paraId="04B20F67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8</w:t>
      </w:r>
      <w:r>
        <w:rPr>
          <w:rFonts w:ascii="Garamond" w:eastAsia="Times New Roman" w:hAnsi="Garamond" w:cs="Times New Roman"/>
          <w:color w:val="000000"/>
          <w:lang w:eastAsia="hu-HU"/>
        </w:rPr>
        <w:t>.</w:t>
      </w:r>
      <w:r w:rsidRPr="00D22818">
        <w:rPr>
          <w:rFonts w:ascii="Garamond" w:eastAsia="Times New Roman" w:hAnsi="Garamond" w:cs="Times New Roman"/>
          <w:color w:val="000000"/>
          <w:lang w:eastAsia="hu-HU"/>
        </w:rPr>
        <w:t xml:space="preserve"> Személyek a büntetőeljárásban; a büntetőeljárás alanyainak rendszere. </w:t>
      </w:r>
    </w:p>
    <w:p w14:paraId="3E0598BE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9. A bíróságok szerepe és működése a büntetőeljárásban. A hatáskör és illetékesség a büntetőeljárásban; a bíróságok hatásköre és illetékessége. </w:t>
      </w:r>
    </w:p>
    <w:p w14:paraId="77C17EF2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10. Az ügyészség szerepe a büntetőeljárásban. A nyomozó hatóságok feladatai a büntetőeljárásban. Az ügyészség és a nyomozó hatóságok hatásköre és illetékessége.</w:t>
      </w:r>
    </w:p>
    <w:p w14:paraId="55300685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11. A kizárás intézménye. A bíróságokra, az ügyészségre, és a nyomozó hatóságokra vonatkozó kizárás szabályai. </w:t>
      </w:r>
    </w:p>
    <w:p w14:paraId="2E76F8DB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12. A terhelt eljárási helyzete: jogai és kötelezettségei. </w:t>
      </w:r>
    </w:p>
    <w:p w14:paraId="2535A98D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13. A védelem joga, védő a büntetőeljárásban. </w:t>
      </w:r>
    </w:p>
    <w:p w14:paraId="16B63E59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14. A sértett és különböző eljárási pozíciói. </w:t>
      </w:r>
    </w:p>
    <w:p w14:paraId="688291AE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15. A vagyoni érdekeltek; az egyéb érdekeltek; a képviselők; a segítők; a támogatók. </w:t>
      </w:r>
    </w:p>
    <w:p w14:paraId="741BA6A3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16. A különleges bánásmód intézménye a büntetőeljárásban. </w:t>
      </w:r>
    </w:p>
    <w:p w14:paraId="63D4A0AA" w14:textId="0060D121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 xml:space="preserve">17. Idézés, értesítés, előállítás, elővezetés, elfogatóparancs. Határidő, határnap, igazolás. </w:t>
      </w:r>
    </w:p>
    <w:p w14:paraId="6F2497DC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18. A bizonyítás fogalma, célja és természete a büntetőeljárásban. A bizonyítás alapfogalmai, a bizonyítási eszközök és a bizonyítékok rendszere. A bizonyítás tárgya. A bizonyítás elvei, a bizonyítás törvényessége. </w:t>
      </w:r>
    </w:p>
    <w:p w14:paraId="69E2C7A8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19. A tanú és a tanúvallomás. A tanúvallomás akadályai. A tanú kihallgatásának a szabályai. A tanúvédelem eszközei. A terhelt vallomása. </w:t>
      </w:r>
    </w:p>
    <w:p w14:paraId="3C12783C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20. A szakértő és a szakvélemény. A szakértő jogai és kötelezettségei. A szakértő igénybevétele (a kirendelt és a magánszakértő). A szakvélemény értékelése. A pártfogó felügyelői vélemény. </w:t>
      </w:r>
    </w:p>
    <w:p w14:paraId="2B9B6778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21. A tárgyi bizonyítási eszköz és az elektronikus adat. A bizonyítási cselekmények fogalma és eljárási szabályozásának a módja. A szemle, a helyszíni kihallgatás, a bizonyítási kísérlet.  A felismerésre bemutatás, a szembesítés és a műszeres vallomásellenőrzés.</w:t>
      </w:r>
    </w:p>
    <w:p w14:paraId="03DD3FFD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22. A leplezett eszközök rendszere és helye a büntetőeljárásban. A leplezett eszközök alkalmazásának közös szabályai. A titkos információgyűjtés és a büntetőeljárás kapcsolata. </w:t>
      </w:r>
    </w:p>
    <w:p w14:paraId="59EC74C5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23. Az ügyészi engedélyhez kötött leplezett eszközök alkalmazása. A bírói engedélyhez kötött leplezett eszközök alkalmazása. Adatszerző tevékenység a büntetőeljárásban. </w:t>
      </w:r>
    </w:p>
    <w:p w14:paraId="5F489BAE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24. A kényszerintézkedések alkalmazásának közös általános szabályai. Jelenlét biztosítása az eljárási cselekményeken és az őrizet. </w:t>
      </w:r>
    </w:p>
    <w:p w14:paraId="7F89548C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lastRenderedPageBreak/>
        <w:t>25. A büntetőeljárási kényszerintézkedések és az eljárási szankciók; a kényszerintézkedések rendszere. </w:t>
      </w:r>
    </w:p>
    <w:p w14:paraId="527D861B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26. A személyi szabadságot érintő bírói engedélyes kényszerintézkedések általános szabályai. </w:t>
      </w:r>
    </w:p>
    <w:p w14:paraId="348E8E67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27. A távoltartás és a bűnügyi felügyelet. </w:t>
      </w:r>
    </w:p>
    <w:p w14:paraId="5BF9E207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28. A letartóztatás. </w:t>
      </w:r>
    </w:p>
    <w:p w14:paraId="1C6113DE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29. Az elmeállapot megfigyelése és az előzetes kényszergyógykezelés. </w:t>
      </w:r>
    </w:p>
    <w:p w14:paraId="5343DFA6" w14:textId="77777777" w:rsidR="00DA55E2" w:rsidRDefault="00DA55E2" w:rsidP="00DA55E2">
      <w:pPr>
        <w:rPr>
          <w:rFonts w:ascii="Garamond" w:eastAsia="Times New Roman" w:hAnsi="Garamond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30. A kutatás és a motozás. A lefoglalás elrendelése és végrehajtása. Az irat és az elektronikus adat lefoglalása, valamint a megőrzésre kötelezés. A lefoglalt dolog sorsa és a lefoglalás megszüntetése. A zár alá vétel. Az elektronikus adat ideiglenes hozzáférhetetlenné tétele. </w:t>
      </w:r>
    </w:p>
    <w:p w14:paraId="6DE7BF64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>
        <w:rPr>
          <w:rFonts w:ascii="Garamond" w:eastAsia="Times New Roman" w:hAnsi="Garamond" w:cs="Times New Roman"/>
          <w:color w:val="000000"/>
          <w:lang w:eastAsia="hu-HU"/>
        </w:rPr>
        <w:t>31. A büntetőeljárás menete.</w:t>
      </w:r>
    </w:p>
    <w:p w14:paraId="6EA6423B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3</w:t>
      </w:r>
      <w:r>
        <w:rPr>
          <w:rFonts w:ascii="Garamond" w:eastAsia="Times New Roman" w:hAnsi="Garamond" w:cs="Times New Roman"/>
          <w:color w:val="000000"/>
          <w:lang w:eastAsia="hu-HU"/>
        </w:rPr>
        <w:t>2</w:t>
      </w:r>
      <w:r w:rsidRPr="00D22818">
        <w:rPr>
          <w:rFonts w:ascii="Garamond" w:eastAsia="Times New Roman" w:hAnsi="Garamond" w:cs="Times New Roman"/>
          <w:color w:val="000000"/>
          <w:lang w:eastAsia="hu-HU"/>
        </w:rPr>
        <w:t>. Az előkészítő eljárás célja és eszközei, az előkészítő eljárás lefolytatása. </w:t>
      </w:r>
    </w:p>
    <w:p w14:paraId="7B47C8A4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3</w:t>
      </w:r>
      <w:r>
        <w:rPr>
          <w:rFonts w:ascii="Garamond" w:eastAsia="Times New Roman" w:hAnsi="Garamond" w:cs="Times New Roman"/>
          <w:color w:val="000000"/>
          <w:lang w:eastAsia="hu-HU"/>
        </w:rPr>
        <w:t>3</w:t>
      </w:r>
      <w:r w:rsidRPr="00D22818">
        <w:rPr>
          <w:rFonts w:ascii="Garamond" w:eastAsia="Times New Roman" w:hAnsi="Garamond" w:cs="Times New Roman"/>
          <w:color w:val="000000"/>
          <w:lang w:eastAsia="hu-HU"/>
        </w:rPr>
        <w:t>. A nyomozás célja és feladata. A nyomozás és a vizsgálat viszonyának történeti alakulása. </w:t>
      </w:r>
    </w:p>
    <w:p w14:paraId="0BE93B7C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3</w:t>
      </w:r>
      <w:r>
        <w:rPr>
          <w:rFonts w:ascii="Garamond" w:eastAsia="Times New Roman" w:hAnsi="Garamond" w:cs="Times New Roman"/>
          <w:color w:val="000000"/>
          <w:lang w:eastAsia="hu-HU"/>
        </w:rPr>
        <w:t>4</w:t>
      </w:r>
      <w:r w:rsidRPr="00D22818">
        <w:rPr>
          <w:rFonts w:ascii="Garamond" w:eastAsia="Times New Roman" w:hAnsi="Garamond" w:cs="Times New Roman"/>
          <w:color w:val="000000"/>
          <w:lang w:eastAsia="hu-HU"/>
        </w:rPr>
        <w:t>. A nyomozás menete és szakaszai. Határozatok a nyomozás során. </w:t>
      </w:r>
    </w:p>
    <w:p w14:paraId="0D9BB9EC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3</w:t>
      </w:r>
      <w:r>
        <w:rPr>
          <w:rFonts w:ascii="Garamond" w:eastAsia="Times New Roman" w:hAnsi="Garamond" w:cs="Times New Roman"/>
          <w:color w:val="000000"/>
          <w:lang w:eastAsia="hu-HU"/>
        </w:rPr>
        <w:t>5</w:t>
      </w:r>
      <w:r w:rsidRPr="00D22818">
        <w:rPr>
          <w:rFonts w:ascii="Garamond" w:eastAsia="Times New Roman" w:hAnsi="Garamond" w:cs="Times New Roman"/>
          <w:color w:val="000000"/>
          <w:lang w:eastAsia="hu-HU"/>
        </w:rPr>
        <w:t>. A nyomozás megindítása; a feljelentés és a feljelentés kiegészítése; magánindítvány. </w:t>
      </w:r>
    </w:p>
    <w:p w14:paraId="2A385D37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3</w:t>
      </w:r>
      <w:r>
        <w:rPr>
          <w:rFonts w:ascii="Garamond" w:eastAsia="Times New Roman" w:hAnsi="Garamond" w:cs="Times New Roman"/>
          <w:color w:val="000000"/>
          <w:lang w:eastAsia="hu-HU"/>
        </w:rPr>
        <w:t>6</w:t>
      </w:r>
      <w:r w:rsidRPr="00D22818">
        <w:rPr>
          <w:rFonts w:ascii="Garamond" w:eastAsia="Times New Roman" w:hAnsi="Garamond" w:cs="Times New Roman"/>
          <w:color w:val="000000"/>
          <w:lang w:eastAsia="hu-HU"/>
        </w:rPr>
        <w:t>. A felderítésre vonatkozó eljárási szabályok. A vizsgálat szabályai. </w:t>
      </w:r>
    </w:p>
    <w:p w14:paraId="4F5CCF96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3</w:t>
      </w:r>
      <w:r>
        <w:rPr>
          <w:rFonts w:ascii="Garamond" w:eastAsia="Times New Roman" w:hAnsi="Garamond" w:cs="Times New Roman"/>
          <w:color w:val="000000"/>
          <w:lang w:eastAsia="hu-HU"/>
        </w:rPr>
        <w:t>7</w:t>
      </w:r>
      <w:r w:rsidRPr="00D22818">
        <w:rPr>
          <w:rFonts w:ascii="Garamond" w:eastAsia="Times New Roman" w:hAnsi="Garamond" w:cs="Times New Roman"/>
          <w:color w:val="000000"/>
          <w:lang w:eastAsia="hu-HU"/>
        </w:rPr>
        <w:t>. A feljelentés elutasítása; a nyomozás felfüggesztése. </w:t>
      </w:r>
    </w:p>
    <w:p w14:paraId="369487B5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3</w:t>
      </w:r>
      <w:r>
        <w:rPr>
          <w:rFonts w:ascii="Garamond" w:eastAsia="Times New Roman" w:hAnsi="Garamond" w:cs="Times New Roman"/>
          <w:color w:val="000000"/>
          <w:lang w:eastAsia="hu-HU"/>
        </w:rPr>
        <w:t>8</w:t>
      </w:r>
      <w:r w:rsidRPr="00D22818">
        <w:rPr>
          <w:rFonts w:ascii="Garamond" w:eastAsia="Times New Roman" w:hAnsi="Garamond" w:cs="Times New Roman"/>
          <w:color w:val="000000"/>
          <w:lang w:eastAsia="hu-HU"/>
        </w:rPr>
        <w:t>. Az eljárás megszüntetése a nyomozás során.  Jogorvoslat a nyomozás során.</w:t>
      </w:r>
    </w:p>
    <w:p w14:paraId="7B26F8E7" w14:textId="77777777" w:rsidR="00DA55E2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</w:p>
    <w:p w14:paraId="2127A111" w14:textId="77777777" w:rsidR="00DA55E2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</w:p>
    <w:p w14:paraId="085AD96D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</w:p>
    <w:p w14:paraId="2053F2AE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b/>
          <w:bCs/>
          <w:color w:val="000000"/>
          <w:lang w:eastAsia="hu-HU"/>
        </w:rPr>
        <w:t>„B” kérdések</w:t>
      </w:r>
    </w:p>
    <w:p w14:paraId="4F91CD02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1. Az ügyészségi intézkedés vagy határozat kilátásba helyezése. Egyezség a bűnösség beismeréséről. </w:t>
      </w:r>
    </w:p>
    <w:p w14:paraId="2772B0BA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2. A közvetítői eljárás. A feltételes ügyészi felfüggesztés. </w:t>
      </w:r>
    </w:p>
    <w:p w14:paraId="75F291BB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3. A vád fogalma és jelentősége; a vád formái; a vádemelés. </w:t>
      </w:r>
    </w:p>
    <w:p w14:paraId="75CD9BAE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4. A bírósági eljárás általános szabályai, a bírósági eljárás formái, jelenlét a bírósági eljárásban, a tárgyalás nyilvánossága, a tárgyalás vezetése.  </w:t>
      </w:r>
    </w:p>
    <w:p w14:paraId="6BDA6003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5. A bíróság eljárása a vádemelés előtt. </w:t>
      </w:r>
    </w:p>
    <w:p w14:paraId="33A25265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6. A tárgyalás előkészítés feladata, rendszerei, történeti és jogösszeghasonlító elemzésük. </w:t>
      </w:r>
    </w:p>
    <w:p w14:paraId="753FB78B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7. Az előkészítő ülés fogalma, menete, eljárás a bűnösség beismerése és a bűnösség be nem ismerése esetén. </w:t>
      </w:r>
    </w:p>
    <w:p w14:paraId="28713AF2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8. Az elsőfokú tárgyalás menete (a bizonyítás részletezése nélkül). A vád módosítása és a vád elejtése. </w:t>
      </w:r>
    </w:p>
    <w:p w14:paraId="1AEF1BAD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9. Bizonyítás a tárgyaláson. Perbeszédek és felszólalások.</w:t>
      </w:r>
    </w:p>
    <w:p w14:paraId="62057371" w14:textId="77777777" w:rsidR="00DA55E2" w:rsidRPr="00D22818" w:rsidRDefault="00DA55E2" w:rsidP="00DA55E2">
      <w:pPr>
        <w:spacing w:after="59"/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10. Határozathozatal a bírósági eljárásban. Az elsőfokú bíróság határozatai. Határozattan: Az ítélet és a végzés. Az ügydöntő és a nem ügydöntő határozatok. A határozathozatal és a határozatok közlése. </w:t>
      </w:r>
    </w:p>
    <w:p w14:paraId="062AADB7" w14:textId="77777777" w:rsidR="00DA55E2" w:rsidRPr="00D22818" w:rsidRDefault="00DA55E2" w:rsidP="00DA55E2">
      <w:pPr>
        <w:spacing w:after="59"/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11. A jogerő fogalma és jelentősége. A jogerőhatások. A jogerőre képes határozatok.</w:t>
      </w:r>
    </w:p>
    <w:p w14:paraId="2E56FC08" w14:textId="77777777" w:rsidR="00DA55E2" w:rsidRPr="00D22818" w:rsidRDefault="00DA55E2" w:rsidP="00DA55E2">
      <w:pPr>
        <w:spacing w:after="59"/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12. Jogorvoslatok a bírósági szakaszban. A perorvoslatok rendszerezése. A fellebbezési jog.</w:t>
      </w:r>
    </w:p>
    <w:p w14:paraId="5A0F7B5F" w14:textId="77777777" w:rsidR="00DA55E2" w:rsidRPr="00D22818" w:rsidRDefault="00DA55E2" w:rsidP="00DA55E2">
      <w:pPr>
        <w:spacing w:after="59"/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13. A fellebbezési rendszer sajátosságai és ezek összefüggései. </w:t>
      </w:r>
    </w:p>
    <w:p w14:paraId="1EFCDBC2" w14:textId="77777777" w:rsidR="00DA55E2" w:rsidRPr="00D22818" w:rsidRDefault="00DA55E2" w:rsidP="00DA55E2">
      <w:pPr>
        <w:spacing w:after="59"/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14. A másodfokú revízió: fogalma, terjedelme. A tényálláshoz kötöttség.</w:t>
      </w:r>
    </w:p>
    <w:p w14:paraId="658758B2" w14:textId="77777777" w:rsidR="00DA55E2" w:rsidRPr="00D22818" w:rsidRDefault="00DA55E2" w:rsidP="00DA55E2">
      <w:pPr>
        <w:spacing w:after="59"/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15. Abszolút és relatív eljárási hibák és következményeik. </w:t>
      </w:r>
    </w:p>
    <w:p w14:paraId="14629FD9" w14:textId="77777777" w:rsidR="00DA55E2" w:rsidRPr="00D22818" w:rsidRDefault="00DA55E2" w:rsidP="00DA55E2">
      <w:pPr>
        <w:spacing w:after="59"/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16. A megalapozatlanság esetei és a kiküszöbölése. A súlyosítási tilalom és érvényesülése a büntetőeljárásban.</w:t>
      </w:r>
    </w:p>
    <w:p w14:paraId="269B12FD" w14:textId="77777777" w:rsidR="00DA55E2" w:rsidRPr="00D22818" w:rsidRDefault="00DA55E2" w:rsidP="00DA55E2">
      <w:pPr>
        <w:spacing w:after="59"/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17. A másodfokú bíróság eljárása: a fellebbezés elintézése tanácsülésen, nyilvános ülésen, tárgyaláson. A fellebbezés elutasítása; az elsőfokú határozat helybenhagyása; bizonyítás a másodfokú eljárásban </w:t>
      </w:r>
    </w:p>
    <w:p w14:paraId="26342E82" w14:textId="77777777" w:rsidR="00DA55E2" w:rsidRPr="00D22818" w:rsidRDefault="00DA55E2" w:rsidP="00DA55E2">
      <w:pPr>
        <w:spacing w:after="59"/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 xml:space="preserve">18. A másodfokú bíróság határozatai, fellebbezés a másodfokú bíróság határozata ellen, </w:t>
      </w:r>
      <w:proofErr w:type="spellStart"/>
      <w:r w:rsidRPr="00D22818">
        <w:rPr>
          <w:rFonts w:ascii="Garamond" w:eastAsia="Times New Roman" w:hAnsi="Garamond" w:cs="Times New Roman"/>
          <w:color w:val="000000"/>
          <w:lang w:eastAsia="hu-HU"/>
        </w:rPr>
        <w:t>reformatórius</w:t>
      </w:r>
      <w:proofErr w:type="spellEnd"/>
      <w:r w:rsidRPr="00D22818">
        <w:rPr>
          <w:rFonts w:ascii="Garamond" w:eastAsia="Times New Roman" w:hAnsi="Garamond" w:cs="Times New Roman"/>
          <w:color w:val="000000"/>
          <w:lang w:eastAsia="hu-HU"/>
        </w:rPr>
        <w:t xml:space="preserve"> és </w:t>
      </w:r>
      <w:proofErr w:type="spellStart"/>
      <w:r w:rsidRPr="00D22818">
        <w:rPr>
          <w:rFonts w:ascii="Garamond" w:eastAsia="Times New Roman" w:hAnsi="Garamond" w:cs="Times New Roman"/>
          <w:color w:val="000000"/>
          <w:lang w:eastAsia="hu-HU"/>
        </w:rPr>
        <w:t>kasszatórius</w:t>
      </w:r>
      <w:proofErr w:type="spellEnd"/>
      <w:r w:rsidRPr="00D22818">
        <w:rPr>
          <w:rFonts w:ascii="Garamond" w:eastAsia="Times New Roman" w:hAnsi="Garamond" w:cs="Times New Roman"/>
          <w:color w:val="000000"/>
          <w:lang w:eastAsia="hu-HU"/>
        </w:rPr>
        <w:t xml:space="preserve"> döntések.</w:t>
      </w:r>
    </w:p>
    <w:p w14:paraId="3AE8E65A" w14:textId="77777777" w:rsidR="00DA55E2" w:rsidRPr="00D22818" w:rsidRDefault="00DA55E2" w:rsidP="00DA55E2">
      <w:pPr>
        <w:spacing w:after="59"/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19. A harmadfokú eljárás feltételei. A harmadfokú bíróság eljárása és határozatai. A másodfokú és a harmadfokú bíróság hatályon kívül helyező végzése elleni fellebbezés elbírálása. A megismételt eljárás.</w:t>
      </w:r>
    </w:p>
    <w:p w14:paraId="13D9DC38" w14:textId="77777777" w:rsidR="00DA55E2" w:rsidRPr="00D22818" w:rsidRDefault="00DA55E2" w:rsidP="00DA55E2">
      <w:pPr>
        <w:spacing w:after="59"/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20. A rendkívüli perorvoslatok fogalma és jelentősége, rendszere. </w:t>
      </w:r>
    </w:p>
    <w:p w14:paraId="27E21BCC" w14:textId="77777777" w:rsidR="00DA55E2" w:rsidRPr="00D22818" w:rsidRDefault="00DA55E2" w:rsidP="00DA55E2">
      <w:pPr>
        <w:spacing w:after="59"/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21. A perújítás okai és a perújítási eljárás.</w:t>
      </w:r>
    </w:p>
    <w:p w14:paraId="28513794" w14:textId="77777777" w:rsidR="00DA55E2" w:rsidRPr="00D22818" w:rsidRDefault="00DA55E2" w:rsidP="00DA55E2">
      <w:pPr>
        <w:spacing w:after="59"/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lastRenderedPageBreak/>
        <w:t>22. A felülvizsgálat okai és a felülvizsgálati eljárás. Eljárás az alkotmányjogi panasz esetén. Jogorvoslat a törvényesség érdekében. A jogegységi határozat. Az egyszerűsített felülvizsgálat.</w:t>
      </w:r>
    </w:p>
    <w:p w14:paraId="4ECDF3C5" w14:textId="77777777" w:rsidR="00DA55E2" w:rsidRPr="00D22818" w:rsidRDefault="00DA55E2" w:rsidP="00DA55E2">
      <w:pPr>
        <w:spacing w:after="59"/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23. A külön eljárások osztályozása, létrehozásuk indokai és szabályozásuk módjának legfőbb sajátosságai</w:t>
      </w:r>
    </w:p>
    <w:p w14:paraId="4E0D9F96" w14:textId="77777777" w:rsidR="00DA55E2" w:rsidRPr="00D22818" w:rsidRDefault="00DA55E2" w:rsidP="00DA55E2">
      <w:pPr>
        <w:spacing w:after="59"/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24. A fiatalkorúak elleni eljárás </w:t>
      </w:r>
    </w:p>
    <w:p w14:paraId="7BB02138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25. A katonai büntetőeljárás. Eljárás mentességet élvező személyek ügyében.</w:t>
      </w:r>
    </w:p>
    <w:p w14:paraId="2EF7587B" w14:textId="77777777" w:rsidR="00DA55E2" w:rsidRPr="00D22818" w:rsidRDefault="00DA55E2" w:rsidP="00DA55E2">
      <w:pPr>
        <w:spacing w:after="59"/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26. Eljárás bíróság elé állítás esetén.</w:t>
      </w:r>
    </w:p>
    <w:p w14:paraId="620A3954" w14:textId="77777777" w:rsidR="00DA55E2" w:rsidRPr="00D22818" w:rsidRDefault="00DA55E2" w:rsidP="00DA55E2">
      <w:pPr>
        <w:spacing w:after="59"/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27. Eljárás egyezség esetén</w:t>
      </w:r>
    </w:p>
    <w:p w14:paraId="3D4632C4" w14:textId="77777777" w:rsidR="00DA55E2" w:rsidRPr="00D22818" w:rsidRDefault="00DA55E2" w:rsidP="00DA55E2">
      <w:pPr>
        <w:spacing w:after="59"/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28. A büntető végzés meghozatalára irányuló eljárás</w:t>
      </w:r>
    </w:p>
    <w:p w14:paraId="49166E95" w14:textId="77777777" w:rsidR="00DA55E2" w:rsidRDefault="00DA55E2" w:rsidP="00DA55E2">
      <w:pPr>
        <w:spacing w:after="59"/>
        <w:rPr>
          <w:rFonts w:ascii="Garamond" w:eastAsia="Times New Roman" w:hAnsi="Garamond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29. Eljárás távollevő-, és külföldön tartózkodó terhelttel szemben. Biztosíték letétbe helyezésével folyó eljárás.</w:t>
      </w:r>
    </w:p>
    <w:p w14:paraId="7C9D1AC0" w14:textId="77777777" w:rsidR="00DA55E2" w:rsidRDefault="00DA55E2" w:rsidP="00DA55E2">
      <w:pPr>
        <w:spacing w:after="59"/>
        <w:rPr>
          <w:rFonts w:ascii="Garamond" w:eastAsia="Times New Roman" w:hAnsi="Garamond" w:cs="Times New Roman"/>
          <w:color w:val="000000"/>
          <w:lang w:eastAsia="hu-HU"/>
        </w:rPr>
      </w:pPr>
      <w:r>
        <w:rPr>
          <w:rFonts w:ascii="Garamond" w:eastAsia="Times New Roman" w:hAnsi="Garamond" w:cs="Times New Roman"/>
          <w:color w:val="000000"/>
          <w:lang w:eastAsia="hu-HU"/>
        </w:rPr>
        <w:t>30. A magánvádas eljárás.</w:t>
      </w:r>
    </w:p>
    <w:p w14:paraId="321822AD" w14:textId="77777777" w:rsidR="00DA55E2" w:rsidRDefault="00DA55E2" w:rsidP="00DA55E2">
      <w:pPr>
        <w:spacing w:after="59"/>
        <w:rPr>
          <w:rFonts w:ascii="Garamond" w:eastAsia="Times New Roman" w:hAnsi="Garamond" w:cs="Times New Roman"/>
          <w:color w:val="000000"/>
          <w:lang w:eastAsia="hu-HU"/>
        </w:rPr>
      </w:pPr>
      <w:r>
        <w:rPr>
          <w:rFonts w:ascii="Garamond" w:eastAsia="Times New Roman" w:hAnsi="Garamond" w:cs="Times New Roman"/>
          <w:color w:val="000000"/>
          <w:lang w:eastAsia="hu-HU"/>
        </w:rPr>
        <w:t>31. A pótmagánvádas eljárás.</w:t>
      </w:r>
    </w:p>
    <w:p w14:paraId="62F7021D" w14:textId="77777777" w:rsidR="00DA55E2" w:rsidRPr="00D22818" w:rsidRDefault="00DA55E2" w:rsidP="00DA55E2">
      <w:pPr>
        <w:spacing w:after="59"/>
        <w:rPr>
          <w:rFonts w:ascii="Times New Roman" w:eastAsia="Times New Roman" w:hAnsi="Times New Roman" w:cs="Times New Roman"/>
          <w:color w:val="000000"/>
          <w:lang w:eastAsia="hu-HU"/>
        </w:rPr>
      </w:pPr>
      <w:r>
        <w:rPr>
          <w:rFonts w:ascii="Garamond" w:eastAsia="Times New Roman" w:hAnsi="Garamond" w:cs="Times New Roman"/>
          <w:color w:val="000000"/>
          <w:lang w:eastAsia="hu-HU"/>
        </w:rPr>
        <w:t>32. Eljárás közhatalom gyakorlásával vagy közvagyon kezelésével kapcsolatos kiemelt bűncselekmény esetén.</w:t>
      </w:r>
    </w:p>
    <w:p w14:paraId="39190660" w14:textId="77777777" w:rsidR="00DA55E2" w:rsidRPr="00D22818" w:rsidRDefault="00DA55E2" w:rsidP="00DA55E2">
      <w:pPr>
        <w:spacing w:after="59"/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33. A jogi személy elleni eljárás. </w:t>
      </w:r>
    </w:p>
    <w:p w14:paraId="101663AD" w14:textId="77777777" w:rsidR="00DA55E2" w:rsidRPr="00D22818" w:rsidRDefault="00DA55E2" w:rsidP="00DA55E2">
      <w:pPr>
        <w:spacing w:after="59"/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34. Eljárás vagyon vagy dolog elvonása, adat hozzáférhetetlenné tétele érdekében. Eljárás határzárral kapcsolatos bűncselekmény esetén.</w:t>
      </w:r>
    </w:p>
    <w:p w14:paraId="45FA8C4F" w14:textId="77777777" w:rsidR="00DA55E2" w:rsidRPr="00D22818" w:rsidRDefault="00DA55E2" w:rsidP="00DA55E2">
      <w:pPr>
        <w:spacing w:after="59"/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35. A különleges eljárások. A feltételes szabadságra bocsátás legkorábbi időpontjának elhalasztása. Az összbüntetési eljárás.</w:t>
      </w:r>
      <w:r>
        <w:rPr>
          <w:rFonts w:ascii="Garamond" w:eastAsia="Times New Roman" w:hAnsi="Garamond" w:cs="Times New Roman"/>
          <w:color w:val="000000"/>
          <w:lang w:eastAsia="hu-HU"/>
        </w:rPr>
        <w:t xml:space="preserve"> Eljárás a kiutasítás tartamának utólagos meghatározására. Eljárás próbára bocsátás esetén.</w:t>
      </w:r>
      <w:r w:rsidRPr="00D22818">
        <w:rPr>
          <w:rFonts w:ascii="Garamond" w:eastAsia="Times New Roman" w:hAnsi="Garamond" w:cs="Times New Roman"/>
          <w:color w:val="000000"/>
          <w:lang w:eastAsia="hu-HU"/>
        </w:rPr>
        <w:t xml:space="preserve"> Halasztás vagy részletfizetés engedélyezése a bűnügyi költség megfizetésére.</w:t>
      </w:r>
    </w:p>
    <w:p w14:paraId="37E58FD6" w14:textId="77777777" w:rsidR="00DA55E2" w:rsidRPr="00D22818" w:rsidRDefault="00DA55E2" w:rsidP="00DA55E2">
      <w:pPr>
        <w:spacing w:after="59"/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000000"/>
          <w:lang w:eastAsia="hu-HU"/>
        </w:rPr>
        <w:t>36. A büntetőeljáráshoz kapcsolódó egyéb eljárások: a kártalanítás; a visszatérítés; a kegyelmi eljárás.</w:t>
      </w:r>
    </w:p>
    <w:p w14:paraId="7CCBD61C" w14:textId="77777777" w:rsidR="00DA55E2" w:rsidRPr="00D22818" w:rsidRDefault="00DA55E2" w:rsidP="00DA55E2">
      <w:pPr>
        <w:spacing w:after="59"/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323130"/>
          <w:lang w:eastAsia="hu-HU"/>
        </w:rPr>
        <w:t>37. A szabálysértési eljárás alanyai és elvei. A helyszíni eljárás.</w:t>
      </w:r>
    </w:p>
    <w:p w14:paraId="32E1FA6A" w14:textId="77777777" w:rsidR="00DA55E2" w:rsidRPr="00D22818" w:rsidRDefault="00DA55E2" w:rsidP="00DA55E2">
      <w:pPr>
        <w:rPr>
          <w:rFonts w:ascii="Times New Roman" w:eastAsia="Times New Roman" w:hAnsi="Times New Roman" w:cs="Times New Roman"/>
          <w:color w:val="000000"/>
          <w:lang w:eastAsia="hu-HU"/>
        </w:rPr>
      </w:pPr>
      <w:r w:rsidRPr="00D22818">
        <w:rPr>
          <w:rFonts w:ascii="Garamond" w:eastAsia="Times New Roman" w:hAnsi="Garamond" w:cs="Times New Roman"/>
          <w:color w:val="323130"/>
          <w:lang w:eastAsia="hu-HU"/>
        </w:rPr>
        <w:t>38. Szabálysértési hatóság előtti eljárás. A bíróság szerepe és eljárása szabálysértési ügyekben.</w:t>
      </w:r>
    </w:p>
    <w:p w14:paraId="2250934B" w14:textId="77777777" w:rsidR="00DA55E2" w:rsidRPr="00D22818" w:rsidRDefault="00DA55E2" w:rsidP="00DA55E2">
      <w:pPr>
        <w:spacing w:after="240"/>
        <w:rPr>
          <w:rFonts w:ascii="Times New Roman" w:eastAsia="Times New Roman" w:hAnsi="Times New Roman" w:cs="Times New Roman"/>
          <w:lang w:eastAsia="hu-HU"/>
        </w:rPr>
      </w:pPr>
      <w:r w:rsidRPr="00D22818">
        <w:rPr>
          <w:rFonts w:ascii="Times New Roman" w:eastAsia="Times New Roman" w:hAnsi="Times New Roman" w:cs="Times New Roman"/>
          <w:color w:val="000000"/>
          <w:lang w:eastAsia="hu-HU"/>
        </w:rPr>
        <w:br/>
      </w:r>
    </w:p>
    <w:p w14:paraId="082F7579" w14:textId="77777777" w:rsidR="00DA55E2" w:rsidRPr="00D22818" w:rsidRDefault="00DA55E2" w:rsidP="00DA55E2">
      <w:pPr>
        <w:rPr>
          <w:rFonts w:ascii="Times New Roman" w:eastAsia="Times New Roman" w:hAnsi="Times New Roman" w:cs="Times New Roman"/>
          <w:lang w:eastAsia="hu-HU"/>
        </w:rPr>
      </w:pPr>
    </w:p>
    <w:p w14:paraId="1FBA528A" w14:textId="77777777" w:rsidR="00DA55E2" w:rsidRDefault="00DA55E2" w:rsidP="00DA55E2"/>
    <w:p w14:paraId="168A9F66" w14:textId="77777777" w:rsidR="004A5B43" w:rsidRDefault="004A5B43" w:rsidP="003C2496">
      <w:pPr>
        <w:tabs>
          <w:tab w:val="left" w:pos="142"/>
          <w:tab w:val="left" w:pos="4050"/>
          <w:tab w:val="left" w:pos="9498"/>
        </w:tabs>
        <w:spacing w:after="120" w:line="276" w:lineRule="auto"/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p w14:paraId="3E366405" w14:textId="77777777" w:rsidR="004A5B43" w:rsidRDefault="004A5B43" w:rsidP="003C2496">
      <w:pPr>
        <w:tabs>
          <w:tab w:val="left" w:pos="142"/>
          <w:tab w:val="left" w:pos="4050"/>
          <w:tab w:val="left" w:pos="9498"/>
        </w:tabs>
        <w:spacing w:after="120" w:line="276" w:lineRule="auto"/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p w14:paraId="45CE01CB" w14:textId="77777777" w:rsidR="004A5B43" w:rsidRPr="004D46D2" w:rsidRDefault="004A5B43" w:rsidP="003C2496">
      <w:pPr>
        <w:tabs>
          <w:tab w:val="left" w:pos="142"/>
          <w:tab w:val="left" w:pos="4050"/>
          <w:tab w:val="left" w:pos="9498"/>
        </w:tabs>
        <w:spacing w:after="120" w:line="276" w:lineRule="auto"/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sectPr w:rsidR="004A5B43" w:rsidRPr="004D46D2" w:rsidSect="00067DE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5F73E" w14:textId="77777777" w:rsidR="00B3445B" w:rsidRDefault="00B3445B" w:rsidP="00504532">
      <w:r>
        <w:separator/>
      </w:r>
    </w:p>
  </w:endnote>
  <w:endnote w:type="continuationSeparator" w:id="0">
    <w:p w14:paraId="7F046E5B" w14:textId="77777777" w:rsidR="00B3445B" w:rsidRDefault="00B3445B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oldenbook"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0923F" w14:textId="77777777" w:rsidR="003813F6" w:rsidRPr="00B867B3" w:rsidRDefault="003813F6" w:rsidP="003813F6">
    <w:pPr>
      <w:pStyle w:val="lfej"/>
    </w:pPr>
  </w:p>
  <w:p w14:paraId="21773C73" w14:textId="77777777" w:rsidR="003813F6" w:rsidRDefault="003813F6" w:rsidP="003813F6"/>
  <w:p w14:paraId="772C0B04" w14:textId="7656DF24" w:rsidR="00231FD8" w:rsidRPr="0055362A" w:rsidRDefault="003813F6" w:rsidP="003813F6">
    <w:pPr>
      <w:pStyle w:val="llb"/>
      <w:rPr>
        <w:sz w:val="16"/>
        <w:szCs w:val="16"/>
      </w:rPr>
    </w:pPr>
    <w:r w:rsidRPr="008B5240">
      <w:rPr>
        <w:rFonts w:ascii="Garamond" w:hAnsi="Garamond"/>
        <w:color w:val="3B3C3B"/>
        <w:sz w:val="16"/>
        <w:szCs w:val="16"/>
      </w:rPr>
      <w:t xml:space="preserve">Eötvös Loránd Tudományegyetem Állam- és Jogtudományi Kar  1053 Budapest, Egyetem tér 1-3. tel +36 1 411 6500  </w:t>
    </w:r>
    <w:hyperlink r:id="rId1" w:history="1">
      <w:r w:rsidRPr="008B5240">
        <w:rPr>
          <w:rStyle w:val="Hiperhivatkozs"/>
          <w:rFonts w:ascii="Garamond" w:hAnsi="Garamond"/>
          <w:color w:val="3B3C3B"/>
          <w:sz w:val="16"/>
          <w:szCs w:val="16"/>
          <w:u w:val="none"/>
        </w:rPr>
        <w:t>www.ajk.elte.hu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63DDB" w14:textId="77777777" w:rsidR="003813F6" w:rsidRPr="00B867B3" w:rsidRDefault="003813F6" w:rsidP="003813F6">
    <w:pPr>
      <w:pStyle w:val="lfej"/>
    </w:pPr>
  </w:p>
  <w:p w14:paraId="652FBAD8" w14:textId="77777777" w:rsidR="003813F6" w:rsidRDefault="003813F6" w:rsidP="003813F6"/>
  <w:p w14:paraId="50A1976D" w14:textId="731FEAD3" w:rsidR="00A354EB" w:rsidRDefault="003813F6" w:rsidP="003813F6">
    <w:pPr>
      <w:pStyle w:val="llb"/>
    </w:pPr>
    <w:r w:rsidRPr="008B5240">
      <w:rPr>
        <w:rFonts w:ascii="Garamond" w:hAnsi="Garamond"/>
        <w:color w:val="3B3C3B"/>
        <w:sz w:val="16"/>
        <w:szCs w:val="16"/>
      </w:rPr>
      <w:t xml:space="preserve">Eötvös Loránd Tudományegyetem Állam- és Jogtudományi Kar  1053 Budapest, Egyetem tér 1-3. tel +36 1 411 6500  </w:t>
    </w:r>
    <w:hyperlink r:id="rId1" w:history="1">
      <w:r w:rsidRPr="008B5240">
        <w:rPr>
          <w:rStyle w:val="Hiperhivatkozs"/>
          <w:rFonts w:ascii="Garamond" w:hAnsi="Garamond"/>
          <w:color w:val="3B3C3B"/>
          <w:sz w:val="16"/>
          <w:szCs w:val="16"/>
          <w:u w:val="none"/>
        </w:rPr>
        <w:t>www.ajk.elte.hu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FD711" w14:textId="77777777" w:rsidR="00B3445B" w:rsidRDefault="00B3445B" w:rsidP="00504532">
      <w:r>
        <w:separator/>
      </w:r>
    </w:p>
  </w:footnote>
  <w:footnote w:type="continuationSeparator" w:id="0">
    <w:p w14:paraId="5D5D8B5F" w14:textId="77777777" w:rsidR="00B3445B" w:rsidRDefault="00B3445B" w:rsidP="00504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B8725" w14:textId="02D125BD" w:rsidR="00634EA8" w:rsidRDefault="006B6591" w:rsidP="004D46D2">
    <w:pPr>
      <w:pStyle w:val="lfej"/>
    </w:pP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FBA05" w14:textId="46A2F998" w:rsidR="004D46D2" w:rsidRDefault="003813F6" w:rsidP="00E049CC">
    <w:pPr>
      <w:pStyle w:val="lfej"/>
      <w:tabs>
        <w:tab w:val="clear" w:pos="4536"/>
        <w:tab w:val="left" w:pos="426"/>
      </w:tabs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7C4C2EF" wp14:editId="1687FCDC">
              <wp:simplePos x="0" y="0"/>
              <wp:positionH relativeFrom="column">
                <wp:posOffset>2270760</wp:posOffset>
              </wp:positionH>
              <wp:positionV relativeFrom="paragraph">
                <wp:posOffset>226060</wp:posOffset>
              </wp:positionV>
              <wp:extent cx="3780790" cy="962025"/>
              <wp:effectExtent l="0" t="0" r="0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790" cy="962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603DE4" w14:textId="77777777" w:rsidR="003813F6" w:rsidRPr="003813F6" w:rsidRDefault="003813F6" w:rsidP="003D7D46">
                          <w:pPr>
                            <w:shd w:val="clear" w:color="auto" w:fill="FFFFFF"/>
                            <w:rPr>
                              <w:rFonts w:ascii="Open Sans" w:hAnsi="Open Sans" w:cs="Open Sans"/>
                              <w:caps/>
                              <w:sz w:val="23"/>
                              <w:szCs w:val="23"/>
                            </w:rPr>
                          </w:pPr>
                        </w:p>
                        <w:p w14:paraId="03C55292" w14:textId="2E44D5C2" w:rsidR="00BB2EDA" w:rsidRPr="003813F6" w:rsidRDefault="00B3445B" w:rsidP="003D7D46">
                          <w:pPr>
                            <w:shd w:val="clear" w:color="auto" w:fill="FFFFFF"/>
                            <w:rPr>
                              <w:rFonts w:ascii="Open Sans" w:hAnsi="Open Sans" w:cs="Open Sans"/>
                              <w:caps/>
                              <w:sz w:val="23"/>
                              <w:szCs w:val="23"/>
                            </w:rPr>
                          </w:pPr>
                          <w:hyperlink r:id="rId1" w:history="1">
                            <w:r w:rsidR="00BB2EDA" w:rsidRPr="003813F6">
                              <w:rPr>
                                <w:rStyle w:val="Hiperhivatkozs"/>
                                <w:rFonts w:ascii="Open Sans" w:hAnsi="Open Sans" w:cs="Open Sans"/>
                                <w:bCs/>
                                <w:caps/>
                                <w:color w:val="auto"/>
                                <w:sz w:val="23"/>
                                <w:szCs w:val="23"/>
                                <w:u w:val="none"/>
                              </w:rPr>
                              <w:t>Büntető Eljárásjogi és Büntetés-végrehajtási Jogi Tanszék</w:t>
                            </w:r>
                          </w:hyperlink>
                        </w:p>
                        <w:p w14:paraId="3C2C0B70" w14:textId="34EEDF3E" w:rsidR="00E049CC" w:rsidRPr="00E049CC" w:rsidRDefault="00E049CC" w:rsidP="00E049CC">
                          <w:pPr>
                            <w:rPr>
                              <w:rFonts w:ascii="Goldenbook" w:hAnsi="Goldenbook"/>
                              <w:sz w:val="38"/>
                              <w:szCs w:val="38"/>
                            </w:rPr>
                          </w:pPr>
                        </w:p>
                        <w:p w14:paraId="00BF916C" w14:textId="77777777" w:rsidR="00E049CC" w:rsidRPr="00231FD8" w:rsidRDefault="00E049CC" w:rsidP="00E049CC">
                          <w:pPr>
                            <w:rPr>
                              <w:color w:val="000000"/>
                              <w:sz w:val="26"/>
                              <w:szCs w:val="26"/>
                            </w:rPr>
                          </w:pPr>
                        </w:p>
                        <w:p w14:paraId="5138C5EF" w14:textId="414A8B1B" w:rsidR="004D46D2" w:rsidRPr="005E6B53" w:rsidRDefault="004D46D2" w:rsidP="004D46D2">
                          <w:pPr>
                            <w:ind w:right="-18"/>
                            <w:rPr>
                              <w:rFonts w:ascii="Open Sans" w:hAnsi="Open Sans" w:cs="Open Sans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C4C2EF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margin-left:178.8pt;margin-top:17.8pt;width:297.7pt;height:7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GvXgAIAAEUFAAAOAAAAZHJzL2Uyb0RvYy54bWysVEtu2zAQ3RfoHQjuG8lqfjYiB26CFAWC&#10;JKhTZE1TpC2U5LAkbck5WC7Qi3VIfZKmQRdFNxI58+b/hmfnrVZkJ5yvwZR0cpBTIgyHqjbrkn67&#10;v/pwSokPzFRMgREl3QtPz+fv3501diYK2ICqhCPoxPhZY0u6CcHOsszzjdDMH4AVBpUSnGYBr26d&#10;VY416F2rrMjz46wBV1kHXHiP0stOSefJv5SCh1spvQhElRRzC+nr0ncVv9n8jM3WjtlNzfs02D9k&#10;oVltMOjo6pIFRrau/sOVrrkDDzIccNAZSFlzkWrAaib5q2qWG2ZFqgWb4+3YJv//3PKb3Z0jdVXS&#10;YkKJYRpntHz8+bQT6wpW8EhQjD1qrJ8hdGkRHNpP0OKsB7lHYSy9lU7HPxZFUI/d3o8dFm0gHIUf&#10;T07zkymqOOqmx0VeHEU32bO1dT58FqBJPJTU4QRTY9nu2ocOOkBiMANXtVJpisr8JkCfUZLF1LsU&#10;0ynslYg4Zb4KiYVjUkUKkCgnLpQjO4Zkqb6nApMXREYTiZFGo8lbRioMRj02molEw9Ewf8vwOdqI&#10;ThHBhNFQ1wbc341lhx+q7mqNZYd21fZjXEG1xyk66HbBW35VY6uvmQ93zCH5cTq40OEWP1JBU1Lo&#10;T5RswD2+JY945CRqKWlwmUrqf2yZE5SoLwbZOp0cHsbtS5fDo5MCL+6lZvVSY7b6AnAESEjMLh0j&#10;PqjhKB3oB9z7RYyKKmY4xi5pGI4XoVtxfDe4WCwSCPfNsnBtlpZH17G9kUj37QNztmdbQJ7ewLB2&#10;bPaKdB02WhpYbAPIOjEyNrjrat943NXE6f5diY/By3tCPb9+818AAAD//wMAUEsDBBQABgAIAAAA&#10;IQBxeX7l3gAAAAoBAAAPAAAAZHJzL2Rvd25yZXYueG1sTI8/T8NADMV3JL7DyZXY6KWN+i/NpSpI&#10;DAwdKLA7iZtEzflC7poGPj3uBJNt+efn99LdaFs1UO8bxwZm0wgUceHKhisDH+8vj2tQPiCX2Dom&#10;A9/kYZfd36WYlO7KbzQcQ6VEhH2CBuoQukRrX9Rk0U9dRyy7k+stBhn7Spc9XkXctnoeRUttsWH5&#10;UGNHzzUV5+PFio3hM483Ye+8P5zmT68/eMjPX8Y8TMb9FlSgMfzBcLMvN5CJp9xduPSqNRAvVktB&#10;b41UATaLWMLlQq5XM9BZqv9HyH4BAAD//wMAUEsBAi0AFAAGAAgAAAAhALaDOJL+AAAA4QEAABMA&#10;AAAAAAAAAAAAAAAAAAAAAFtDb250ZW50X1R5cGVzXS54bWxQSwECLQAUAAYACAAAACEAOP0h/9YA&#10;AACUAQAACwAAAAAAAAAAAAAAAAAvAQAAX3JlbHMvLnJlbHNQSwECLQAUAAYACAAAACEAo+hr14AC&#10;AABFBQAADgAAAAAAAAAAAAAAAAAuAgAAZHJzL2Uyb0RvYy54bWxQSwECLQAUAAYACAAAACEAcXl+&#10;5d4AAAAKAQAADwAAAAAAAAAAAAAAAADaBAAAZHJzL2Rvd25yZXYueG1sUEsFBgAAAAAEAAQA8wAA&#10;AOUFAAAAAA==&#10;" filled="f" stroked="f" strokeweight="1pt">
              <v:textbox>
                <w:txbxContent>
                  <w:p w14:paraId="23603DE4" w14:textId="77777777" w:rsidR="003813F6" w:rsidRPr="003813F6" w:rsidRDefault="003813F6" w:rsidP="003D7D46">
                    <w:pPr>
                      <w:shd w:val="clear" w:color="auto" w:fill="FFFFFF"/>
                      <w:rPr>
                        <w:rFonts w:ascii="Open Sans" w:hAnsi="Open Sans" w:cs="Open Sans"/>
                        <w:caps/>
                        <w:sz w:val="23"/>
                        <w:szCs w:val="23"/>
                      </w:rPr>
                    </w:pPr>
                  </w:p>
                  <w:p w14:paraId="03C55292" w14:textId="2E44D5C2" w:rsidR="00BB2EDA" w:rsidRPr="003813F6" w:rsidRDefault="00B3445B" w:rsidP="003D7D46">
                    <w:pPr>
                      <w:shd w:val="clear" w:color="auto" w:fill="FFFFFF"/>
                      <w:rPr>
                        <w:rFonts w:ascii="Open Sans" w:hAnsi="Open Sans" w:cs="Open Sans"/>
                        <w:caps/>
                        <w:sz w:val="23"/>
                        <w:szCs w:val="23"/>
                      </w:rPr>
                    </w:pPr>
                    <w:hyperlink r:id="rId2" w:history="1">
                      <w:r w:rsidR="00BB2EDA" w:rsidRPr="003813F6">
                        <w:rPr>
                          <w:rStyle w:val="Hiperhivatkozs"/>
                          <w:rFonts w:ascii="Open Sans" w:hAnsi="Open Sans" w:cs="Open Sans"/>
                          <w:bCs/>
                          <w:caps/>
                          <w:color w:val="auto"/>
                          <w:sz w:val="23"/>
                          <w:szCs w:val="23"/>
                          <w:u w:val="none"/>
                        </w:rPr>
                        <w:t>Büntető Eljárásjogi és Büntetés-végrehajtási Jogi Tanszék</w:t>
                      </w:r>
                    </w:hyperlink>
                  </w:p>
                  <w:p w14:paraId="3C2C0B70" w14:textId="34EEDF3E" w:rsidR="00E049CC" w:rsidRPr="00E049CC" w:rsidRDefault="00E049CC" w:rsidP="00E049CC">
                    <w:pPr>
                      <w:rPr>
                        <w:rFonts w:ascii="Goldenbook" w:hAnsi="Goldenbook"/>
                        <w:sz w:val="38"/>
                        <w:szCs w:val="38"/>
                      </w:rPr>
                    </w:pPr>
                  </w:p>
                  <w:p w14:paraId="00BF916C" w14:textId="77777777" w:rsidR="00E049CC" w:rsidRPr="00231FD8" w:rsidRDefault="00E049CC" w:rsidP="00E049CC">
                    <w:pPr>
                      <w:rPr>
                        <w:color w:val="000000"/>
                        <w:sz w:val="26"/>
                        <w:szCs w:val="26"/>
                      </w:rPr>
                    </w:pPr>
                  </w:p>
                  <w:p w14:paraId="5138C5EF" w14:textId="414A8B1B" w:rsidR="004D46D2" w:rsidRPr="005E6B53" w:rsidRDefault="004D46D2" w:rsidP="004D46D2">
                    <w:pPr>
                      <w:ind w:right="-18"/>
                      <w:rPr>
                        <w:rFonts w:ascii="Open Sans" w:hAnsi="Open Sans" w:cs="Open Sans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="004D5E3F" w:rsidRPr="004D5E3F">
      <w:rPr>
        <w:rFonts w:ascii="Open Sans" w:hAnsi="Open Sans" w:cs="Open Sans"/>
        <w:noProof/>
        <w:sz w:val="22"/>
        <w:szCs w:val="22"/>
        <w:lang w:eastAsia="hu-HU"/>
      </w:rPr>
      <w:drawing>
        <wp:anchor distT="0" distB="0" distL="114300" distR="114300" simplePos="0" relativeHeight="251673599" behindDoc="1" locked="0" layoutInCell="1" allowOverlap="1" wp14:anchorId="7538584D" wp14:editId="00338806">
          <wp:simplePos x="0" y="0"/>
          <wp:positionH relativeFrom="column">
            <wp:posOffset>2274570</wp:posOffset>
          </wp:positionH>
          <wp:positionV relativeFrom="paragraph">
            <wp:posOffset>2784475</wp:posOffset>
          </wp:positionV>
          <wp:extent cx="6293413" cy="6293413"/>
          <wp:effectExtent l="0" t="0" r="6350" b="635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3413" cy="62934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3BFE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C59B64" wp14:editId="166D66EE">
              <wp:simplePos x="0" y="0"/>
              <wp:positionH relativeFrom="column">
                <wp:posOffset>2073910</wp:posOffset>
              </wp:positionH>
              <wp:positionV relativeFrom="paragraph">
                <wp:posOffset>268604</wp:posOffset>
              </wp:positionV>
              <wp:extent cx="0" cy="467995"/>
              <wp:effectExtent l="0" t="0" r="12700" b="14605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67995"/>
                      </a:xfrm>
                      <a:prstGeom prst="line">
                        <a:avLst/>
                      </a:prstGeom>
                      <a:ln cap="rnd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E75C3E" id="Egyenes összekötő 2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3pt,21.15pt" to="163.3pt,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KQcyQEAAMsDAAAOAAAAZHJzL2Uyb0RvYy54bWysU11u1DAQfkfiDpbf2WRXUGi02T60wAuC&#10;FYUDuPZ4Y9V/ss0m4RZcpheouBdjJ00rqCqEeHHs8XzfzPd5sj0bjCZHCFE529L1qqYELHdC2UNL&#10;v3559+INJTExK5h2Flo6QqRnu+fPtr1vYOM6pwUEgiQ2Nr1vaZeSb6oq8g4MiyvnweKldMGwhMdw&#10;qERgPbIbXW3q+qTqXRA+OA4xYvRiuqS7wi8l8PRJygiJ6JZib6msoaxXea12W9YcAvOd4nMb7B+6&#10;MExZLLpQXbDEyLeg/qAyigcXnUwr7kzlpFQcigZUs65/U3PZMQ9FC5oT/WJT/H+0/ONxH4gSLd2g&#10;PZYZfKO3hxEsRHJ7E+N3uL69ST9/ELxGr3ofG4Sc232YT9HvQxY+yGDyFyWRofg7Lv7CkAifghyj&#10;L09en56+ynTVPc6HmN6DMyRvWqqVzcpZw44fYppS71JyWFvCGc5LsKIQ5camVsoujRqmtM8gUR4W&#10;Xxe6MlhwrgM5MhwJcb2e+9AWMzNEKq0XUP00aM7NMCjD9rfAJbtUdDYtQKOsC49VTcNdq3LKR/se&#10;aM3bKyfG8jDlAiemODxPdx7Jh+cCv/8Hd78AAAD//wMAUEsDBBQABgAIAAAAIQD94iED4AAAAAoB&#10;AAAPAAAAZHJzL2Rvd25yZXYueG1sTI/BTsMwDIbvSLxD5EncWLoOCipNpwmEhDgMbXDhliVe29E4&#10;pcm2bk+PEQd2tP3p/z8Xs8G1Yo99aDwpmIwTEEjG24YqBR/vz9f3IELUZHXrCRUcMcCsvLwodG79&#10;gZa4X8VKcAiFXCuoY+xyKYOp0ekw9h0S3za+dzry2FfS9vrA4a6VaZJk0umGuKHWHT7WaL5WO8cl&#10;Zvt6etqY78/j/OV2sZBvJ3snlboaDfMHEBGH+A/Drz6rQ8lOa78jG0SrYJpmGaMKbtIpCAb+Fmsm&#10;J1kCsizk+QvlDwAAAP//AwBQSwECLQAUAAYACAAAACEAtoM4kv4AAADhAQAAEwAAAAAAAAAAAAAA&#10;AAAAAAAAW0NvbnRlbnRfVHlwZXNdLnhtbFBLAQItABQABgAIAAAAIQA4/SH/1gAAAJQBAAALAAAA&#10;AAAAAAAAAAAAAC8BAABfcmVscy8ucmVsc1BLAQItABQABgAIAAAAIQClEKQcyQEAAMsDAAAOAAAA&#10;AAAAAAAAAAAAAC4CAABkcnMvZTJvRG9jLnhtbFBLAQItABQABgAIAAAAIQD94iED4AAAAAoBAAAP&#10;AAAAAAAAAAAAAAAAACMEAABkcnMvZG93bnJldi54bWxQSwUGAAAAAAQABADzAAAAMAUAAAAA&#10;" strokecolor="black [3200]" strokeweight=".5pt">
              <v:stroke joinstyle="miter" endcap="round"/>
            </v:line>
          </w:pict>
        </mc:Fallback>
      </mc:AlternateContent>
    </w:r>
    <w:r w:rsidR="001E17B5">
      <w:rPr>
        <w:noProof/>
        <w:lang w:eastAsia="hu-HU"/>
      </w:rPr>
      <w:drawing>
        <wp:anchor distT="0" distB="0" distL="114300" distR="114300" simplePos="0" relativeHeight="251672576" behindDoc="1" locked="0" layoutInCell="1" allowOverlap="1" wp14:anchorId="74B8CE30" wp14:editId="754E14DB">
          <wp:simplePos x="0" y="0"/>
          <wp:positionH relativeFrom="column">
            <wp:posOffset>0</wp:posOffset>
          </wp:positionH>
          <wp:positionV relativeFrom="page">
            <wp:posOffset>720090</wp:posOffset>
          </wp:positionV>
          <wp:extent cx="1774800" cy="468000"/>
          <wp:effectExtent l="0" t="0" r="0" b="8255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48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912691"/>
    <w:multiLevelType w:val="multilevel"/>
    <w:tmpl w:val="91DE8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C83"/>
    <w:rsid w:val="00033C83"/>
    <w:rsid w:val="00045D74"/>
    <w:rsid w:val="00051168"/>
    <w:rsid w:val="00054DD8"/>
    <w:rsid w:val="0005544F"/>
    <w:rsid w:val="0006557E"/>
    <w:rsid w:val="00067DEB"/>
    <w:rsid w:val="000711B8"/>
    <w:rsid w:val="000811DE"/>
    <w:rsid w:val="000C1CCD"/>
    <w:rsid w:val="000D2AE4"/>
    <w:rsid w:val="000E7EEF"/>
    <w:rsid w:val="00106B0C"/>
    <w:rsid w:val="00146248"/>
    <w:rsid w:val="00154A9A"/>
    <w:rsid w:val="00197177"/>
    <w:rsid w:val="001B09AA"/>
    <w:rsid w:val="001B5834"/>
    <w:rsid w:val="001B7E14"/>
    <w:rsid w:val="001E17B5"/>
    <w:rsid w:val="001F3DDA"/>
    <w:rsid w:val="00216DD5"/>
    <w:rsid w:val="00231FD8"/>
    <w:rsid w:val="0025246C"/>
    <w:rsid w:val="00263782"/>
    <w:rsid w:val="002F594B"/>
    <w:rsid w:val="00301557"/>
    <w:rsid w:val="00350230"/>
    <w:rsid w:val="0035307D"/>
    <w:rsid w:val="003813F6"/>
    <w:rsid w:val="00395276"/>
    <w:rsid w:val="003B10B2"/>
    <w:rsid w:val="003C2496"/>
    <w:rsid w:val="003D7D46"/>
    <w:rsid w:val="00402088"/>
    <w:rsid w:val="00406FAE"/>
    <w:rsid w:val="00454408"/>
    <w:rsid w:val="004644E9"/>
    <w:rsid w:val="00493E10"/>
    <w:rsid w:val="004A5B43"/>
    <w:rsid w:val="004D46D2"/>
    <w:rsid w:val="004D5E3F"/>
    <w:rsid w:val="004E2438"/>
    <w:rsid w:val="00504532"/>
    <w:rsid w:val="005064CC"/>
    <w:rsid w:val="00511D63"/>
    <w:rsid w:val="0055362A"/>
    <w:rsid w:val="005E6B53"/>
    <w:rsid w:val="005F4DF0"/>
    <w:rsid w:val="00634EA8"/>
    <w:rsid w:val="00645F3D"/>
    <w:rsid w:val="006539D9"/>
    <w:rsid w:val="0066549F"/>
    <w:rsid w:val="006660B1"/>
    <w:rsid w:val="00687BF1"/>
    <w:rsid w:val="006B6591"/>
    <w:rsid w:val="006C26DF"/>
    <w:rsid w:val="006F2B1A"/>
    <w:rsid w:val="006F52A1"/>
    <w:rsid w:val="00707E1C"/>
    <w:rsid w:val="0071795A"/>
    <w:rsid w:val="00754295"/>
    <w:rsid w:val="0079492B"/>
    <w:rsid w:val="007A44CB"/>
    <w:rsid w:val="007B7B2A"/>
    <w:rsid w:val="007C0F63"/>
    <w:rsid w:val="007D6A45"/>
    <w:rsid w:val="00801EDF"/>
    <w:rsid w:val="0080309C"/>
    <w:rsid w:val="00834088"/>
    <w:rsid w:val="0089452F"/>
    <w:rsid w:val="008B0225"/>
    <w:rsid w:val="008B46D3"/>
    <w:rsid w:val="008C1193"/>
    <w:rsid w:val="008D0951"/>
    <w:rsid w:val="008E24A9"/>
    <w:rsid w:val="008F21D0"/>
    <w:rsid w:val="0091305F"/>
    <w:rsid w:val="00913E79"/>
    <w:rsid w:val="00921800"/>
    <w:rsid w:val="0092603F"/>
    <w:rsid w:val="0098783C"/>
    <w:rsid w:val="009A32D8"/>
    <w:rsid w:val="009E16B3"/>
    <w:rsid w:val="009E236E"/>
    <w:rsid w:val="00A354EB"/>
    <w:rsid w:val="00A43812"/>
    <w:rsid w:val="00A65635"/>
    <w:rsid w:val="00A767B1"/>
    <w:rsid w:val="00B01A07"/>
    <w:rsid w:val="00B01DA0"/>
    <w:rsid w:val="00B17DFD"/>
    <w:rsid w:val="00B33C91"/>
    <w:rsid w:val="00B3445B"/>
    <w:rsid w:val="00B41E46"/>
    <w:rsid w:val="00B55D3D"/>
    <w:rsid w:val="00BB2EDA"/>
    <w:rsid w:val="00BD0579"/>
    <w:rsid w:val="00BE3BFE"/>
    <w:rsid w:val="00BF36AF"/>
    <w:rsid w:val="00C11016"/>
    <w:rsid w:val="00C6536B"/>
    <w:rsid w:val="00C6656F"/>
    <w:rsid w:val="00CA34C2"/>
    <w:rsid w:val="00CB7495"/>
    <w:rsid w:val="00CD6E42"/>
    <w:rsid w:val="00CE6C96"/>
    <w:rsid w:val="00CF5607"/>
    <w:rsid w:val="00D40EB5"/>
    <w:rsid w:val="00D53683"/>
    <w:rsid w:val="00D979DB"/>
    <w:rsid w:val="00DA55E2"/>
    <w:rsid w:val="00DC7472"/>
    <w:rsid w:val="00E049CC"/>
    <w:rsid w:val="00E26790"/>
    <w:rsid w:val="00E26BA4"/>
    <w:rsid w:val="00E41852"/>
    <w:rsid w:val="00E63DA0"/>
    <w:rsid w:val="00E73545"/>
    <w:rsid w:val="00E76D53"/>
    <w:rsid w:val="00EA34DA"/>
    <w:rsid w:val="00EC674D"/>
    <w:rsid w:val="00F440DB"/>
    <w:rsid w:val="00F523BD"/>
    <w:rsid w:val="00FB4FEE"/>
    <w:rsid w:val="00FC61F6"/>
    <w:rsid w:val="00FF7A28"/>
    <w:rsid w:val="00FF7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7A6CDE"/>
  <w15:docId w15:val="{AE58400D-08FF-6549-B10C-70E0F8CFF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E7EE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8783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878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37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jk.elte.h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jk.elte.hu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emf"/><Relationship Id="rId2" Type="http://schemas.openxmlformats.org/officeDocument/2006/relationships/hyperlink" Target="https://www.ajk.elte.hu/szervezetek/bunteto-eljarasjogi-es-buntetes-vegrehajtasi-jogi-tanszek" TargetMode="External"/><Relationship Id="rId1" Type="http://schemas.openxmlformats.org/officeDocument/2006/relationships/hyperlink" Target="https://www.ajk.elte.hu/szervezetek/bunteto-eljarasjogi-es-buntetes-vegrehajtasi-jogi-tanszek" TargetMode="External"/><Relationship Id="rId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ACEA825-23A0-4D43-AD61-7C7599EA0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1015</Words>
  <Characters>7005</Characters>
  <Application>Microsoft Office Word</Application>
  <DocSecurity>0</DocSecurity>
  <Lines>58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Legéndyné Szabó Edit Zsuzsanna</cp:lastModifiedBy>
  <cp:revision>7</cp:revision>
  <cp:lastPrinted>2023-10-04T10:11:00Z</cp:lastPrinted>
  <dcterms:created xsi:type="dcterms:W3CDTF">2024-04-11T12:37:00Z</dcterms:created>
  <dcterms:modified xsi:type="dcterms:W3CDTF">2024-04-22T08:51:00Z</dcterms:modified>
</cp:coreProperties>
</file>