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DB7" w:rsidRPr="00824A12" w:rsidRDefault="00EB30BC" w:rsidP="00361804">
      <w:pPr>
        <w:jc w:val="center"/>
        <w:rPr>
          <w:rFonts w:ascii="Garamond" w:hAnsi="Garamond"/>
          <w:b/>
          <w:smallCaps/>
          <w:sz w:val="32"/>
          <w:szCs w:val="32"/>
        </w:rPr>
      </w:pPr>
      <w:r w:rsidRPr="00824A12">
        <w:rPr>
          <w:rFonts w:ascii="Garamond" w:hAnsi="Garamond"/>
          <w:b/>
          <w:smallCaps/>
          <w:sz w:val="32"/>
          <w:szCs w:val="32"/>
        </w:rPr>
        <w:t>Fejezetek a dologi hitelbiztosítékok történetéből (Összehasonlító jogtörténet)</w:t>
      </w:r>
    </w:p>
    <w:p w:rsidR="00361804" w:rsidRPr="00824A12" w:rsidRDefault="00361804" w:rsidP="00294334">
      <w:pPr>
        <w:jc w:val="both"/>
        <w:rPr>
          <w:rFonts w:ascii="Garamond" w:hAnsi="Garamond"/>
          <w:b/>
        </w:rPr>
      </w:pPr>
    </w:p>
    <w:p w:rsidR="00294334" w:rsidRPr="00824A12" w:rsidRDefault="00EB30BC" w:rsidP="00294334">
      <w:pPr>
        <w:jc w:val="both"/>
        <w:rPr>
          <w:rFonts w:ascii="Garamond" w:hAnsi="Garamond"/>
          <w:b/>
          <w:smallCaps/>
          <w:sz w:val="22"/>
          <w:szCs w:val="22"/>
        </w:rPr>
      </w:pPr>
      <w:r w:rsidRPr="00824A12">
        <w:rPr>
          <w:rFonts w:ascii="Garamond" w:hAnsi="Garamond"/>
          <w:b/>
          <w:smallCaps/>
          <w:sz w:val="22"/>
          <w:szCs w:val="22"/>
        </w:rPr>
        <w:t>A kurzus</w:t>
      </w:r>
      <w:r w:rsidR="00361804" w:rsidRPr="00824A12">
        <w:rPr>
          <w:rFonts w:ascii="Garamond" w:hAnsi="Garamond"/>
          <w:b/>
          <w:smallCaps/>
          <w:sz w:val="22"/>
          <w:szCs w:val="22"/>
        </w:rPr>
        <w:t xml:space="preserve"> célja:</w:t>
      </w:r>
    </w:p>
    <w:p w:rsidR="00B549E4" w:rsidRPr="00824A12" w:rsidRDefault="00B549E4" w:rsidP="00294334">
      <w:pPr>
        <w:jc w:val="both"/>
        <w:rPr>
          <w:rFonts w:ascii="Garamond" w:hAnsi="Garamond"/>
          <w:b/>
          <w:smallCaps/>
          <w:sz w:val="22"/>
          <w:szCs w:val="22"/>
        </w:rPr>
      </w:pPr>
    </w:p>
    <w:p w:rsidR="003C7A8E" w:rsidRPr="00824A12" w:rsidRDefault="00B549E4" w:rsidP="00294334">
      <w:pPr>
        <w:jc w:val="both"/>
        <w:rPr>
          <w:rFonts w:ascii="Garamond" w:hAnsi="Garamond"/>
        </w:rPr>
      </w:pPr>
      <w:r w:rsidRPr="00824A12">
        <w:rPr>
          <w:rFonts w:ascii="Garamond" w:hAnsi="Garamond"/>
        </w:rPr>
        <w:t xml:space="preserve">A </w:t>
      </w:r>
      <w:r w:rsidR="007E6B52" w:rsidRPr="00824A12">
        <w:rPr>
          <w:rFonts w:ascii="Garamond" w:hAnsi="Garamond"/>
        </w:rPr>
        <w:t>kurzus</w:t>
      </w:r>
      <w:r w:rsidRPr="00824A12">
        <w:rPr>
          <w:rFonts w:ascii="Garamond" w:hAnsi="Garamond"/>
        </w:rPr>
        <w:t xml:space="preserve"> célja, hogy az</w:t>
      </w:r>
      <w:r w:rsidR="007E6B52" w:rsidRPr="00824A12">
        <w:rPr>
          <w:rFonts w:ascii="Garamond" w:hAnsi="Garamond"/>
        </w:rPr>
        <w:t>ok a</w:t>
      </w:r>
      <w:r w:rsidRPr="00824A12">
        <w:rPr>
          <w:rFonts w:ascii="Garamond" w:hAnsi="Garamond"/>
        </w:rPr>
        <w:t xml:space="preserve"> hallgatók</w:t>
      </w:r>
      <w:r w:rsidR="007E6B52" w:rsidRPr="00824A12">
        <w:rPr>
          <w:rFonts w:ascii="Garamond" w:hAnsi="Garamond"/>
        </w:rPr>
        <w:t xml:space="preserve">, akik </w:t>
      </w:r>
      <w:r w:rsidR="00F17EF6" w:rsidRPr="00824A12">
        <w:rPr>
          <w:rFonts w:ascii="Garamond" w:hAnsi="Garamond"/>
        </w:rPr>
        <w:t xml:space="preserve">(1) </w:t>
      </w:r>
      <w:r w:rsidR="007E6B52" w:rsidRPr="00824A12">
        <w:rPr>
          <w:rFonts w:ascii="Garamond" w:hAnsi="Garamond"/>
        </w:rPr>
        <w:t>már megismerkedtek a dologi hitelbiztosítékok (elsősorban a zálogjog) római jogi és hatályo</w:t>
      </w:r>
      <w:r w:rsidR="00F17EF6" w:rsidRPr="00824A12">
        <w:rPr>
          <w:rFonts w:ascii="Garamond" w:hAnsi="Garamond"/>
        </w:rPr>
        <w:t>s magyar jogi szabályozásával</w:t>
      </w:r>
      <w:r w:rsidR="008B2E1B" w:rsidRPr="00824A12">
        <w:rPr>
          <w:rFonts w:ascii="Garamond" w:hAnsi="Garamond"/>
        </w:rPr>
        <w:t xml:space="preserve"> (vagyis sikeres vizsgát tettek az RJ2 és a PJ1 tárgyakból)</w:t>
      </w:r>
      <w:r w:rsidR="00F17EF6" w:rsidRPr="00824A12">
        <w:rPr>
          <w:rFonts w:ascii="Garamond" w:hAnsi="Garamond"/>
        </w:rPr>
        <w:t>, (2)</w:t>
      </w:r>
      <w:r w:rsidR="007E6B52" w:rsidRPr="00824A12">
        <w:rPr>
          <w:rFonts w:ascii="Garamond" w:hAnsi="Garamond"/>
        </w:rPr>
        <w:t xml:space="preserve"> a </w:t>
      </w:r>
      <w:r w:rsidR="006A2776">
        <w:rPr>
          <w:rFonts w:ascii="Garamond" w:hAnsi="Garamond"/>
        </w:rPr>
        <w:t xml:space="preserve">hatályos </w:t>
      </w:r>
      <w:r w:rsidR="007E6B52" w:rsidRPr="00824A12">
        <w:rPr>
          <w:rFonts w:ascii="Garamond" w:hAnsi="Garamond"/>
        </w:rPr>
        <w:t xml:space="preserve">polgári jog mellett a jogtörténet iránt is érdeklődnek, </w:t>
      </w:r>
      <w:r w:rsidR="00F17EF6" w:rsidRPr="00824A12">
        <w:rPr>
          <w:rFonts w:ascii="Garamond" w:hAnsi="Garamond"/>
        </w:rPr>
        <w:t xml:space="preserve">és (3) magas szintű </w:t>
      </w:r>
      <w:r w:rsidR="008B2E1B" w:rsidRPr="00824A12">
        <w:rPr>
          <w:rFonts w:ascii="Garamond" w:hAnsi="Garamond"/>
        </w:rPr>
        <w:t>idegen</w:t>
      </w:r>
      <w:r w:rsidR="00F17EF6" w:rsidRPr="00824A12">
        <w:rPr>
          <w:rFonts w:ascii="Garamond" w:hAnsi="Garamond"/>
        </w:rPr>
        <w:t>nyelv</w:t>
      </w:r>
      <w:r w:rsidR="008B2E1B" w:rsidRPr="00824A12">
        <w:rPr>
          <w:rFonts w:ascii="Garamond" w:hAnsi="Garamond"/>
        </w:rPr>
        <w:t>-</w:t>
      </w:r>
      <w:r w:rsidR="00F17EF6" w:rsidRPr="00824A12">
        <w:rPr>
          <w:rFonts w:ascii="Garamond" w:hAnsi="Garamond"/>
        </w:rPr>
        <w:t xml:space="preserve">ismerettel </w:t>
      </w:r>
      <w:r w:rsidR="008B2E1B" w:rsidRPr="00824A12">
        <w:rPr>
          <w:rFonts w:ascii="Garamond" w:hAnsi="Garamond"/>
        </w:rPr>
        <w:t xml:space="preserve">(angol, német vagy francia) </w:t>
      </w:r>
      <w:r w:rsidR="00F17EF6" w:rsidRPr="00824A12">
        <w:rPr>
          <w:rFonts w:ascii="Garamond" w:hAnsi="Garamond"/>
        </w:rPr>
        <w:t xml:space="preserve">rendelkeznek, </w:t>
      </w:r>
      <w:r w:rsidR="007E6B52" w:rsidRPr="00824A12">
        <w:rPr>
          <w:rFonts w:ascii="Garamond" w:hAnsi="Garamond"/>
        </w:rPr>
        <w:t xml:space="preserve">a források tanulmányozása alapján betekintést nyerjenek a dologi hitelbiztosítékok szabályozásának történetébe </w:t>
      </w:r>
      <w:r w:rsidR="003C7A8E" w:rsidRPr="00824A12">
        <w:rPr>
          <w:rFonts w:ascii="Garamond" w:hAnsi="Garamond"/>
        </w:rPr>
        <w:t xml:space="preserve">és hatályos szabályozásába </w:t>
      </w:r>
      <w:r w:rsidR="007E6B52" w:rsidRPr="00824A12">
        <w:rPr>
          <w:rFonts w:ascii="Garamond" w:hAnsi="Garamond"/>
        </w:rPr>
        <w:t xml:space="preserve">más jogrendszerekben. Ez elsősorban a három nagy nyugat-európai jogrendszert jelenti: az angol, a francia és a német jogot. </w:t>
      </w:r>
    </w:p>
    <w:p w:rsidR="003C7A8E" w:rsidRPr="00824A12" w:rsidRDefault="003C7A8E" w:rsidP="00294334">
      <w:pPr>
        <w:jc w:val="both"/>
        <w:rPr>
          <w:rFonts w:ascii="Garamond" w:hAnsi="Garamond"/>
        </w:rPr>
      </w:pPr>
    </w:p>
    <w:p w:rsidR="007E6B52" w:rsidRPr="00824A12" w:rsidRDefault="007E6B52" w:rsidP="00294334">
      <w:pPr>
        <w:jc w:val="both"/>
        <w:rPr>
          <w:rFonts w:ascii="Garamond" w:hAnsi="Garamond"/>
        </w:rPr>
      </w:pPr>
      <w:r w:rsidRPr="00824A12">
        <w:rPr>
          <w:rFonts w:ascii="Garamond" w:hAnsi="Garamond"/>
        </w:rPr>
        <w:t>Az, hogy a kurzus során a három közül mely jogrendszerrel foglalkozunk hangsúlyosan vagy kizárólagosan, attól függ, hogy a jelentkező hallgatók a három nyelv közül melyiket (melyeket) ismerik magas szinten, vagyis melyik nyelven tudnak különösebb gond nélkül hosszabb szövegeket olvasni. Az alábbiakban a legvalószínűbb forgatókönyvből indulok ki, vagyis abból, hogy a jelentkező hallgatók angolul tudnak gördülékenyen olvasni, ezért az angol zálogjog történet</w:t>
      </w:r>
      <w:r w:rsidR="003C7A8E" w:rsidRPr="00824A12">
        <w:rPr>
          <w:rFonts w:ascii="Garamond" w:hAnsi="Garamond"/>
        </w:rPr>
        <w:t xml:space="preserve">ére fog fókuszálni a kurzus. Ez változhat a jelentkezők nyelvtudása függvényében, tehát ha a jelentkezők többsége németül vagy franciául tud jól, akkor a kurzus a német vagy a francia zálogjogra </w:t>
      </w:r>
      <w:r w:rsidR="006A2776">
        <w:rPr>
          <w:rFonts w:ascii="Garamond" w:hAnsi="Garamond"/>
        </w:rPr>
        <w:t xml:space="preserve">(és egyéb dologi hitelbiztosítékokra) </w:t>
      </w:r>
      <w:r w:rsidR="003C7A8E" w:rsidRPr="00824A12">
        <w:rPr>
          <w:rFonts w:ascii="Garamond" w:hAnsi="Garamond"/>
        </w:rPr>
        <w:t xml:space="preserve">fog fókuszálni. </w:t>
      </w:r>
      <w:r w:rsidR="000B4AD9" w:rsidRPr="00824A12">
        <w:rPr>
          <w:rFonts w:ascii="Garamond" w:hAnsi="Garamond"/>
        </w:rPr>
        <w:t xml:space="preserve">(Ebben az esetben </w:t>
      </w:r>
      <w:r w:rsidR="004C7F9C" w:rsidRPr="00824A12">
        <w:rPr>
          <w:rFonts w:ascii="Garamond" w:hAnsi="Garamond"/>
        </w:rPr>
        <w:t xml:space="preserve">természetesen </w:t>
      </w:r>
      <w:r w:rsidR="000B4AD9" w:rsidRPr="00824A12">
        <w:rPr>
          <w:rFonts w:ascii="Garamond" w:hAnsi="Garamond"/>
        </w:rPr>
        <w:t xml:space="preserve">az alábbi tematika is módosul.) </w:t>
      </w:r>
      <w:r w:rsidR="003C7A8E" w:rsidRPr="00824A12">
        <w:rPr>
          <w:rFonts w:ascii="Garamond" w:hAnsi="Garamond"/>
        </w:rPr>
        <w:t xml:space="preserve">Bármelyik jogrendszer lesz is a kurzus hangsúlyos vagy kizárólagos tárgya, a </w:t>
      </w:r>
      <w:r w:rsidR="001729B9" w:rsidRPr="00824A12">
        <w:rPr>
          <w:rFonts w:ascii="Garamond" w:hAnsi="Garamond"/>
        </w:rPr>
        <w:t>kurzus célja, hogy a hallgatók a zálogjog adott jogrendszerbeli története mellett a zálogjog hatályos szabályozásáról is képet kapjanak</w:t>
      </w:r>
      <w:r w:rsidR="00A928EC" w:rsidRPr="00824A12">
        <w:rPr>
          <w:rFonts w:ascii="Garamond" w:hAnsi="Garamond"/>
        </w:rPr>
        <w:t xml:space="preserve"> az adott jogrendszerben</w:t>
      </w:r>
      <w:r w:rsidR="001729B9" w:rsidRPr="00824A12">
        <w:rPr>
          <w:rFonts w:ascii="Garamond" w:hAnsi="Garamond"/>
        </w:rPr>
        <w:t>.</w:t>
      </w:r>
      <w:r w:rsidR="008B2E1B" w:rsidRPr="00824A12">
        <w:rPr>
          <w:rFonts w:ascii="Garamond" w:hAnsi="Garamond"/>
        </w:rPr>
        <w:t xml:space="preserve"> Természetesen cél az összehasonlítás is, vagyis hogy összevessük az egyes zálogjogi problémákra különböző jogrendszerekben és különböző korokban adott válaszokat.</w:t>
      </w:r>
    </w:p>
    <w:p w:rsidR="001729B9" w:rsidRPr="00824A12" w:rsidRDefault="001729B9" w:rsidP="00294334">
      <w:pPr>
        <w:jc w:val="both"/>
        <w:rPr>
          <w:rFonts w:ascii="Garamond" w:hAnsi="Garamond"/>
        </w:rPr>
      </w:pPr>
    </w:p>
    <w:p w:rsidR="00B30730" w:rsidRDefault="001729B9" w:rsidP="00481F60">
      <w:pPr>
        <w:jc w:val="both"/>
        <w:rPr>
          <w:rFonts w:ascii="Garamond" w:hAnsi="Garamond"/>
        </w:rPr>
      </w:pPr>
      <w:r w:rsidRPr="00824A12">
        <w:rPr>
          <w:rFonts w:ascii="Garamond" w:hAnsi="Garamond"/>
        </w:rPr>
        <w:t xml:space="preserve">Az alkalmazott módszer az lesz, hogy a hallgatóknak hétről-hétre el kell olvasni egy vagy több forrást (pl. egy </w:t>
      </w:r>
      <w:r w:rsidR="00F17EF6" w:rsidRPr="00824A12">
        <w:rPr>
          <w:rFonts w:ascii="Garamond" w:hAnsi="Garamond"/>
        </w:rPr>
        <w:t xml:space="preserve">bírósági határozatot) és a következő órán ezt a forrást (forrásokat) fogjuk együtt megbeszélni, értelmezni, illetve </w:t>
      </w:r>
      <w:r w:rsidR="00481F60" w:rsidRPr="00824A12">
        <w:rPr>
          <w:rFonts w:ascii="Garamond" w:hAnsi="Garamond"/>
        </w:rPr>
        <w:t xml:space="preserve">tágabb </w:t>
      </w:r>
      <w:r w:rsidR="00F17EF6" w:rsidRPr="00824A12">
        <w:rPr>
          <w:rFonts w:ascii="Garamond" w:hAnsi="Garamond"/>
        </w:rPr>
        <w:t xml:space="preserve">kontextusba helyezni. Bár a kurzus egy adott jogintézményt </w:t>
      </w:r>
      <w:r w:rsidR="006A2776">
        <w:rPr>
          <w:rFonts w:ascii="Garamond" w:hAnsi="Garamond"/>
        </w:rPr>
        <w:t xml:space="preserve">(jogintézmény-csoportot) </w:t>
      </w:r>
      <w:r w:rsidR="00F17EF6" w:rsidRPr="00824A12">
        <w:rPr>
          <w:rFonts w:ascii="Garamond" w:hAnsi="Garamond"/>
        </w:rPr>
        <w:t>vizsgál, cél az is, hogy a hallgatók általában is közelebb kerüljenek a vizsgált jogrendszerhez, annak történetéhez, jogforrásainak elemzéséhez, a jogi terminológia</w:t>
      </w:r>
      <w:r w:rsidR="00481F60" w:rsidRPr="00824A12">
        <w:rPr>
          <w:rFonts w:ascii="Garamond" w:hAnsi="Garamond"/>
        </w:rPr>
        <w:t xml:space="preserve"> megértéséhez. Másképpen: aki jártasságot szerez pl. zálogjogi témájú angol bírósági határozatok olvasásában, értelmezésében, annak nem fog gondot okozni más jogintézménnyel vagy jogterülettel kapcsolatos angol jogi szövegek olvasása sem.</w:t>
      </w:r>
    </w:p>
    <w:p w:rsidR="00DF69CB" w:rsidRDefault="00DF69CB" w:rsidP="00481F60">
      <w:pPr>
        <w:jc w:val="both"/>
        <w:rPr>
          <w:rFonts w:ascii="Garamond" w:hAnsi="Garamond"/>
        </w:rPr>
      </w:pPr>
    </w:p>
    <w:p w:rsidR="00DF69CB" w:rsidRPr="00824A12" w:rsidRDefault="00DF69CB" w:rsidP="00481F60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t xml:space="preserve">Kérem, hogy akit a kurzus érdekel, küldjön egy e-mailt a </w:t>
      </w:r>
      <w:hyperlink r:id="rId6" w:history="1">
        <w:r w:rsidRPr="004F26BB">
          <w:rPr>
            <w:rStyle w:val="Hiperhivatkozs"/>
            <w:rFonts w:ascii="Garamond" w:hAnsi="Garamond"/>
          </w:rPr>
          <w:t>norbert.csizmazia@ajk.elte.hu</w:t>
        </w:r>
      </w:hyperlink>
      <w:r>
        <w:rPr>
          <w:rFonts w:ascii="Garamond" w:hAnsi="Garamond"/>
        </w:rPr>
        <w:t xml:space="preserve"> címre, amelyben jelzi, hogy az angol, francia és német nyelvek közül melyiken tud olvasni.  </w:t>
      </w:r>
      <w:bookmarkStart w:id="0" w:name="_GoBack"/>
      <w:bookmarkEnd w:id="0"/>
    </w:p>
    <w:p w:rsidR="00B30730" w:rsidRPr="00824A12" w:rsidRDefault="00B30730" w:rsidP="00294334">
      <w:pPr>
        <w:pBdr>
          <w:bottom w:val="single" w:sz="6" w:space="1" w:color="auto"/>
        </w:pBdr>
        <w:jc w:val="both"/>
        <w:rPr>
          <w:rFonts w:ascii="Garamond" w:hAnsi="Garamond"/>
          <w:sz w:val="22"/>
          <w:szCs w:val="22"/>
        </w:rPr>
      </w:pPr>
    </w:p>
    <w:p w:rsidR="00361804" w:rsidRPr="00824A12" w:rsidRDefault="003C7A8E" w:rsidP="00294334">
      <w:pPr>
        <w:jc w:val="both"/>
        <w:rPr>
          <w:rFonts w:ascii="Garamond" w:hAnsi="Garamond"/>
          <w:b/>
          <w:smallCaps/>
          <w:sz w:val="22"/>
          <w:szCs w:val="22"/>
        </w:rPr>
      </w:pPr>
      <w:r w:rsidRPr="00824A12">
        <w:rPr>
          <w:rFonts w:ascii="Garamond" w:hAnsi="Garamond"/>
          <w:b/>
          <w:smallCaps/>
          <w:sz w:val="22"/>
          <w:szCs w:val="22"/>
        </w:rPr>
        <w:t xml:space="preserve">A kurzus </w:t>
      </w:r>
      <w:r w:rsidR="00044A62" w:rsidRPr="00824A12">
        <w:rPr>
          <w:rFonts w:ascii="Garamond" w:hAnsi="Garamond"/>
          <w:b/>
          <w:smallCaps/>
          <w:sz w:val="22"/>
          <w:szCs w:val="22"/>
        </w:rPr>
        <w:t>tartalma/</w:t>
      </w:r>
      <w:r w:rsidRPr="00824A12">
        <w:rPr>
          <w:rFonts w:ascii="Garamond" w:hAnsi="Garamond"/>
          <w:b/>
          <w:smallCaps/>
          <w:sz w:val="22"/>
          <w:szCs w:val="22"/>
        </w:rPr>
        <w:t>főbb témakörei</w:t>
      </w:r>
      <w:r w:rsidR="00361804" w:rsidRPr="00824A12">
        <w:rPr>
          <w:rFonts w:ascii="Garamond" w:hAnsi="Garamond"/>
          <w:b/>
          <w:smallCaps/>
          <w:sz w:val="22"/>
          <w:szCs w:val="22"/>
        </w:rPr>
        <w:t>:</w:t>
      </w:r>
    </w:p>
    <w:p w:rsidR="00B549E4" w:rsidRPr="00824A12" w:rsidRDefault="00B549E4" w:rsidP="00294334">
      <w:pPr>
        <w:jc w:val="both"/>
        <w:rPr>
          <w:rFonts w:ascii="Garamond" w:hAnsi="Garamond"/>
          <w:b/>
          <w:smallCaps/>
          <w:sz w:val="22"/>
          <w:szCs w:val="22"/>
        </w:rPr>
      </w:pPr>
    </w:p>
    <w:p w:rsidR="00EB30BC" w:rsidRPr="00824A12" w:rsidRDefault="003C7A8E" w:rsidP="00B30730">
      <w:pPr>
        <w:pBdr>
          <w:bottom w:val="single" w:sz="6" w:space="1" w:color="auto"/>
        </w:pBdr>
        <w:jc w:val="both"/>
        <w:rPr>
          <w:rFonts w:ascii="Garamond" w:hAnsi="Garamond"/>
        </w:rPr>
      </w:pPr>
      <w:r w:rsidRPr="00824A12">
        <w:rPr>
          <w:rFonts w:ascii="Garamond" w:hAnsi="Garamond"/>
        </w:rPr>
        <w:t xml:space="preserve">Az angol jog „rétegei”: </w:t>
      </w:r>
      <w:r w:rsidRPr="00824A12">
        <w:rPr>
          <w:rFonts w:ascii="Garamond" w:hAnsi="Garamond"/>
          <w:i/>
        </w:rPr>
        <w:t>c</w:t>
      </w:r>
      <w:r w:rsidR="00EB30BC" w:rsidRPr="00824A12">
        <w:rPr>
          <w:rFonts w:ascii="Garamond" w:hAnsi="Garamond"/>
          <w:i/>
        </w:rPr>
        <w:t>ommon law</w:t>
      </w:r>
      <w:r w:rsidR="00EB30BC" w:rsidRPr="00824A12">
        <w:rPr>
          <w:rFonts w:ascii="Garamond" w:hAnsi="Garamond"/>
        </w:rPr>
        <w:t xml:space="preserve"> és </w:t>
      </w:r>
      <w:r w:rsidR="00EB30BC" w:rsidRPr="00824A12">
        <w:rPr>
          <w:rFonts w:ascii="Garamond" w:hAnsi="Garamond"/>
          <w:i/>
        </w:rPr>
        <w:t>equity</w:t>
      </w:r>
    </w:p>
    <w:p w:rsidR="00EB30BC" w:rsidRPr="00824A12" w:rsidRDefault="00EB30BC" w:rsidP="00B30730">
      <w:pPr>
        <w:pBdr>
          <w:bottom w:val="single" w:sz="6" w:space="1" w:color="auto"/>
        </w:pBdr>
        <w:jc w:val="both"/>
        <w:rPr>
          <w:rFonts w:ascii="Garamond" w:hAnsi="Garamond"/>
        </w:rPr>
      </w:pPr>
    </w:p>
    <w:p w:rsidR="00EB30BC" w:rsidRPr="00824A12" w:rsidRDefault="00EB30BC" w:rsidP="00B30730">
      <w:pPr>
        <w:pBdr>
          <w:bottom w:val="single" w:sz="6" w:space="1" w:color="auto"/>
        </w:pBdr>
        <w:jc w:val="both"/>
        <w:rPr>
          <w:rFonts w:ascii="Garamond" w:hAnsi="Garamond"/>
          <w:i/>
        </w:rPr>
      </w:pPr>
      <w:r w:rsidRPr="00824A12">
        <w:rPr>
          <w:rFonts w:ascii="Garamond" w:hAnsi="Garamond"/>
        </w:rPr>
        <w:t xml:space="preserve">Az angol zálogjog típusai </w:t>
      </w:r>
      <w:r w:rsidRPr="00824A12">
        <w:rPr>
          <w:rFonts w:ascii="Garamond" w:hAnsi="Garamond"/>
          <w:i/>
        </w:rPr>
        <w:t>(pledge, mortgage, charge)</w:t>
      </w:r>
    </w:p>
    <w:p w:rsidR="00EB30BC" w:rsidRPr="00824A12" w:rsidRDefault="00EB30BC" w:rsidP="00B30730">
      <w:pPr>
        <w:pBdr>
          <w:bottom w:val="single" w:sz="6" w:space="1" w:color="auto"/>
        </w:pBdr>
        <w:jc w:val="both"/>
        <w:rPr>
          <w:rFonts w:ascii="Garamond" w:hAnsi="Garamond"/>
        </w:rPr>
      </w:pPr>
    </w:p>
    <w:p w:rsidR="00EB30BC" w:rsidRPr="00824A12" w:rsidRDefault="00EB30BC" w:rsidP="00B30730">
      <w:pPr>
        <w:pBdr>
          <w:bottom w:val="single" w:sz="6" w:space="1" w:color="auto"/>
        </w:pBdr>
        <w:jc w:val="both"/>
        <w:rPr>
          <w:rFonts w:ascii="Garamond" w:hAnsi="Garamond"/>
        </w:rPr>
      </w:pPr>
      <w:r w:rsidRPr="00824A12">
        <w:rPr>
          <w:rFonts w:ascii="Garamond" w:hAnsi="Garamond"/>
        </w:rPr>
        <w:t xml:space="preserve">Az angol zálogjog </w:t>
      </w:r>
      <w:r w:rsidR="00540F98">
        <w:rPr>
          <w:rFonts w:ascii="Garamond" w:hAnsi="Garamond"/>
        </w:rPr>
        <w:t>fejlődése</w:t>
      </w:r>
      <w:r w:rsidR="006A2776">
        <w:rPr>
          <w:rFonts w:ascii="Garamond" w:hAnsi="Garamond"/>
        </w:rPr>
        <w:t xml:space="preserve"> a jogi értekezések tükrében (12-18. század: </w:t>
      </w:r>
      <w:r w:rsidRPr="00824A12">
        <w:rPr>
          <w:rFonts w:ascii="Garamond" w:hAnsi="Garamond"/>
        </w:rPr>
        <w:t>Glanvill, Bracton</w:t>
      </w:r>
      <w:r w:rsidR="00D92B42">
        <w:rPr>
          <w:rFonts w:ascii="Garamond" w:hAnsi="Garamond"/>
        </w:rPr>
        <w:t>, Littleton</w:t>
      </w:r>
      <w:r w:rsidR="00790655">
        <w:rPr>
          <w:rFonts w:ascii="Garamond" w:hAnsi="Garamond"/>
        </w:rPr>
        <w:t>, Coke</w:t>
      </w:r>
      <w:r w:rsidR="006A2776">
        <w:rPr>
          <w:rFonts w:ascii="Garamond" w:hAnsi="Garamond"/>
        </w:rPr>
        <w:t>, Blackstone</w:t>
      </w:r>
      <w:r w:rsidRPr="00824A12">
        <w:rPr>
          <w:rFonts w:ascii="Garamond" w:hAnsi="Garamond"/>
        </w:rPr>
        <w:t>)</w:t>
      </w:r>
    </w:p>
    <w:p w:rsidR="00EB30BC" w:rsidRPr="00824A12" w:rsidRDefault="00EB30BC" w:rsidP="00B30730">
      <w:pPr>
        <w:pBdr>
          <w:bottom w:val="single" w:sz="6" w:space="1" w:color="auto"/>
        </w:pBdr>
        <w:jc w:val="both"/>
        <w:rPr>
          <w:rFonts w:ascii="Garamond" w:hAnsi="Garamond"/>
        </w:rPr>
      </w:pPr>
    </w:p>
    <w:p w:rsidR="00EB30BC" w:rsidRPr="00824A12" w:rsidRDefault="00EB30BC" w:rsidP="00B30730">
      <w:pPr>
        <w:pBdr>
          <w:bottom w:val="single" w:sz="6" w:space="1" w:color="auto"/>
        </w:pBdr>
        <w:jc w:val="both"/>
        <w:rPr>
          <w:rFonts w:ascii="Garamond" w:hAnsi="Garamond"/>
        </w:rPr>
      </w:pPr>
      <w:r w:rsidRPr="00824A12">
        <w:rPr>
          <w:rFonts w:ascii="Garamond" w:hAnsi="Garamond"/>
        </w:rPr>
        <w:t xml:space="preserve">A </w:t>
      </w:r>
      <w:r w:rsidRPr="00824A12">
        <w:rPr>
          <w:rFonts w:ascii="Garamond" w:hAnsi="Garamond"/>
          <w:i/>
        </w:rPr>
        <w:t>mortgage</w:t>
      </w:r>
      <w:r w:rsidRPr="00824A12">
        <w:rPr>
          <w:rFonts w:ascii="Garamond" w:hAnsi="Garamond"/>
        </w:rPr>
        <w:t xml:space="preserve"> átalakulása a kancellár bíróságának gyakorlatában</w:t>
      </w:r>
    </w:p>
    <w:p w:rsidR="00EB30BC" w:rsidRPr="00824A12" w:rsidRDefault="00EB30BC" w:rsidP="00B30730">
      <w:pPr>
        <w:pBdr>
          <w:bottom w:val="single" w:sz="6" w:space="1" w:color="auto"/>
        </w:pBdr>
        <w:jc w:val="both"/>
        <w:rPr>
          <w:rFonts w:ascii="Garamond" w:hAnsi="Garamond"/>
          <w:i/>
        </w:rPr>
      </w:pPr>
      <w:r w:rsidRPr="00824A12">
        <w:rPr>
          <w:rFonts w:ascii="Garamond" w:hAnsi="Garamond"/>
        </w:rPr>
        <w:tab/>
        <w:t xml:space="preserve">- Az </w:t>
      </w:r>
      <w:r w:rsidRPr="00824A12">
        <w:rPr>
          <w:rFonts w:ascii="Garamond" w:hAnsi="Garamond"/>
          <w:i/>
        </w:rPr>
        <w:t>equity of redemption</w:t>
      </w:r>
    </w:p>
    <w:p w:rsidR="00EB30BC" w:rsidRPr="00824A12" w:rsidRDefault="00EB30BC" w:rsidP="00B30730">
      <w:pPr>
        <w:pBdr>
          <w:bottom w:val="single" w:sz="6" w:space="1" w:color="auto"/>
        </w:pBdr>
        <w:jc w:val="both"/>
        <w:rPr>
          <w:rFonts w:ascii="Garamond" w:hAnsi="Garamond"/>
        </w:rPr>
      </w:pPr>
      <w:r w:rsidRPr="00824A12">
        <w:rPr>
          <w:rFonts w:ascii="Garamond" w:hAnsi="Garamond"/>
          <w:i/>
        </w:rPr>
        <w:tab/>
        <w:t>- Casborne v Scarfe</w:t>
      </w:r>
      <w:r w:rsidRPr="00824A12">
        <w:rPr>
          <w:rFonts w:ascii="Garamond" w:hAnsi="Garamond"/>
        </w:rPr>
        <w:t xml:space="preserve"> (1738) 1 Atk 603</w:t>
      </w:r>
    </w:p>
    <w:p w:rsidR="00EB30BC" w:rsidRPr="00824A12" w:rsidRDefault="00EB30BC" w:rsidP="00B30730">
      <w:pPr>
        <w:pBdr>
          <w:bottom w:val="single" w:sz="6" w:space="1" w:color="auto"/>
        </w:pBdr>
        <w:jc w:val="both"/>
        <w:rPr>
          <w:rFonts w:ascii="Garamond" w:hAnsi="Garamond"/>
        </w:rPr>
      </w:pPr>
    </w:p>
    <w:p w:rsidR="00EB30BC" w:rsidRPr="00824A12" w:rsidRDefault="00EB30BC" w:rsidP="00B30730">
      <w:pPr>
        <w:pBdr>
          <w:bottom w:val="single" w:sz="6" w:space="1" w:color="auto"/>
        </w:pBdr>
        <w:jc w:val="both"/>
        <w:rPr>
          <w:rFonts w:ascii="Garamond" w:hAnsi="Garamond"/>
        </w:rPr>
      </w:pPr>
      <w:r w:rsidRPr="00824A12">
        <w:rPr>
          <w:rFonts w:ascii="Garamond" w:hAnsi="Garamond"/>
        </w:rPr>
        <w:t xml:space="preserve">A </w:t>
      </w:r>
      <w:r w:rsidRPr="00824A12">
        <w:rPr>
          <w:rFonts w:ascii="Garamond" w:hAnsi="Garamond"/>
          <w:i/>
        </w:rPr>
        <w:t>reputed ownership</w:t>
      </w:r>
      <w:r w:rsidRPr="00824A12">
        <w:rPr>
          <w:rFonts w:ascii="Garamond" w:hAnsi="Garamond"/>
        </w:rPr>
        <w:t xml:space="preserve"> doktrína</w:t>
      </w:r>
    </w:p>
    <w:p w:rsidR="00C6728C" w:rsidRPr="00824A12" w:rsidRDefault="00EB30BC" w:rsidP="00EB30BC">
      <w:pPr>
        <w:pBdr>
          <w:bottom w:val="single" w:sz="6" w:space="1" w:color="auto"/>
        </w:pBdr>
        <w:jc w:val="both"/>
        <w:rPr>
          <w:rFonts w:ascii="Garamond" w:hAnsi="Garamond"/>
        </w:rPr>
      </w:pPr>
      <w:r w:rsidRPr="00824A12">
        <w:rPr>
          <w:rFonts w:ascii="Garamond" w:hAnsi="Garamond"/>
        </w:rPr>
        <w:tab/>
        <w:t xml:space="preserve">- </w:t>
      </w:r>
      <w:r w:rsidR="00C6728C" w:rsidRPr="00824A12">
        <w:rPr>
          <w:rFonts w:ascii="Garamond" w:hAnsi="Garamond"/>
          <w:bCs/>
        </w:rPr>
        <w:t xml:space="preserve">Bankruptcy Act (1623) </w:t>
      </w:r>
      <w:r w:rsidR="00C6728C" w:rsidRPr="00824A12">
        <w:rPr>
          <w:rFonts w:ascii="Garamond" w:hAnsi="Garamond"/>
        </w:rPr>
        <w:t>21 Jac 1 c 19 (Statute of James)</w:t>
      </w:r>
    </w:p>
    <w:p w:rsidR="00EB30BC" w:rsidRPr="00824A12" w:rsidRDefault="00C6728C" w:rsidP="00C6728C">
      <w:pPr>
        <w:pBdr>
          <w:bottom w:val="single" w:sz="6" w:space="1" w:color="auto"/>
        </w:pBdr>
        <w:ind w:firstLine="720"/>
        <w:jc w:val="both"/>
        <w:rPr>
          <w:rFonts w:ascii="Garamond" w:hAnsi="Garamond"/>
        </w:rPr>
      </w:pPr>
      <w:r w:rsidRPr="00824A12">
        <w:rPr>
          <w:rFonts w:ascii="Garamond" w:hAnsi="Garamond"/>
        </w:rPr>
        <w:t xml:space="preserve">- </w:t>
      </w:r>
      <w:r w:rsidR="00EB30BC" w:rsidRPr="00824A12">
        <w:rPr>
          <w:rFonts w:ascii="Garamond" w:hAnsi="Garamond"/>
          <w:i/>
        </w:rPr>
        <w:t xml:space="preserve">Ryall v </w:t>
      </w:r>
      <w:r w:rsidR="00EB30BC" w:rsidRPr="00824A12">
        <w:rPr>
          <w:rFonts w:ascii="Garamond" w:hAnsi="Garamond"/>
          <w:i/>
          <w:lang w:val="en-US"/>
        </w:rPr>
        <w:t>Rolle</w:t>
      </w:r>
      <w:r w:rsidR="00EB30BC" w:rsidRPr="00824A12">
        <w:rPr>
          <w:rFonts w:ascii="Garamond" w:hAnsi="Garamond"/>
        </w:rPr>
        <w:t xml:space="preserve"> (1749) 1 Atk 165</w:t>
      </w:r>
    </w:p>
    <w:p w:rsidR="00C6728C" w:rsidRPr="00824A12" w:rsidRDefault="00C6728C" w:rsidP="00C6728C">
      <w:pPr>
        <w:pBdr>
          <w:bottom w:val="single" w:sz="6" w:space="1" w:color="auto"/>
        </w:pBdr>
        <w:jc w:val="both"/>
        <w:rPr>
          <w:rFonts w:ascii="Garamond" w:hAnsi="Garamond"/>
        </w:rPr>
      </w:pPr>
    </w:p>
    <w:p w:rsidR="00C6728C" w:rsidRPr="00824A12" w:rsidRDefault="00C6728C" w:rsidP="00C6728C">
      <w:pPr>
        <w:pBdr>
          <w:bottom w:val="single" w:sz="6" w:space="1" w:color="auto"/>
        </w:pBdr>
        <w:jc w:val="both"/>
        <w:rPr>
          <w:rFonts w:ascii="Garamond" w:hAnsi="Garamond"/>
        </w:rPr>
      </w:pPr>
      <w:r w:rsidRPr="00824A12">
        <w:rPr>
          <w:rFonts w:ascii="Garamond" w:hAnsi="Garamond"/>
        </w:rPr>
        <w:t xml:space="preserve">A </w:t>
      </w:r>
      <w:r w:rsidRPr="00824A12">
        <w:rPr>
          <w:rFonts w:ascii="Garamond" w:hAnsi="Garamond"/>
          <w:i/>
        </w:rPr>
        <w:t xml:space="preserve">Bills of Sale Acts </w:t>
      </w:r>
      <w:r w:rsidRPr="00824A12">
        <w:rPr>
          <w:rFonts w:ascii="Garamond" w:hAnsi="Garamond"/>
        </w:rPr>
        <w:t>(1854, 1878, 1882)</w:t>
      </w:r>
    </w:p>
    <w:p w:rsidR="00EB30BC" w:rsidRPr="00824A12" w:rsidRDefault="00EB30BC" w:rsidP="00B30730">
      <w:pPr>
        <w:pBdr>
          <w:bottom w:val="single" w:sz="6" w:space="1" w:color="auto"/>
        </w:pBdr>
        <w:jc w:val="both"/>
        <w:rPr>
          <w:rFonts w:ascii="Garamond" w:hAnsi="Garamond"/>
        </w:rPr>
      </w:pPr>
    </w:p>
    <w:p w:rsidR="00EB30BC" w:rsidRPr="00824A12" w:rsidRDefault="00EB30BC" w:rsidP="00B30730">
      <w:pPr>
        <w:pBdr>
          <w:bottom w:val="single" w:sz="6" w:space="1" w:color="auto"/>
        </w:pBdr>
        <w:jc w:val="both"/>
        <w:rPr>
          <w:rFonts w:ascii="Garamond" w:hAnsi="Garamond"/>
        </w:rPr>
      </w:pPr>
      <w:r w:rsidRPr="00824A12">
        <w:rPr>
          <w:rFonts w:ascii="Garamond" w:hAnsi="Garamond"/>
        </w:rPr>
        <w:t>Zálogjog jövőbeli dolgokon</w:t>
      </w:r>
    </w:p>
    <w:p w:rsidR="00B30730" w:rsidRPr="00824A12" w:rsidRDefault="00EB30BC" w:rsidP="00EB30BC">
      <w:pPr>
        <w:pBdr>
          <w:bottom w:val="single" w:sz="6" w:space="1" w:color="auto"/>
        </w:pBdr>
        <w:ind w:firstLine="720"/>
        <w:jc w:val="both"/>
        <w:rPr>
          <w:rFonts w:ascii="Garamond" w:hAnsi="Garamond"/>
        </w:rPr>
      </w:pPr>
      <w:r w:rsidRPr="00824A12">
        <w:rPr>
          <w:rFonts w:ascii="Garamond" w:hAnsi="Garamond"/>
        </w:rPr>
        <w:t xml:space="preserve">- </w:t>
      </w:r>
      <w:r w:rsidRPr="00824A12">
        <w:rPr>
          <w:rFonts w:ascii="Garamond" w:hAnsi="Garamond"/>
          <w:i/>
        </w:rPr>
        <w:t>Holroyd v Marshall</w:t>
      </w:r>
      <w:r w:rsidRPr="00824A12">
        <w:rPr>
          <w:rFonts w:ascii="Garamond" w:hAnsi="Garamond"/>
        </w:rPr>
        <w:t xml:space="preserve"> (1862) 10 HLC 191</w:t>
      </w:r>
    </w:p>
    <w:p w:rsidR="00EB30BC" w:rsidRPr="00824A12" w:rsidRDefault="00EB30BC" w:rsidP="00EB30BC">
      <w:pPr>
        <w:pBdr>
          <w:bottom w:val="single" w:sz="6" w:space="1" w:color="auto"/>
        </w:pBdr>
        <w:ind w:firstLine="720"/>
        <w:jc w:val="both"/>
        <w:rPr>
          <w:rFonts w:ascii="Garamond" w:hAnsi="Garamond"/>
        </w:rPr>
      </w:pPr>
    </w:p>
    <w:p w:rsidR="00EB30BC" w:rsidRPr="00824A12" w:rsidRDefault="00EB30BC" w:rsidP="00EB30BC">
      <w:pPr>
        <w:pBdr>
          <w:bottom w:val="single" w:sz="6" w:space="1" w:color="auto"/>
        </w:pBdr>
        <w:jc w:val="both"/>
        <w:rPr>
          <w:rFonts w:ascii="Garamond" w:hAnsi="Garamond"/>
          <w:i/>
        </w:rPr>
      </w:pPr>
      <w:r w:rsidRPr="00824A12">
        <w:rPr>
          <w:rFonts w:ascii="Garamond" w:hAnsi="Garamond"/>
        </w:rPr>
        <w:t xml:space="preserve">Lebegő zálogjog </w:t>
      </w:r>
      <w:r w:rsidRPr="00824A12">
        <w:rPr>
          <w:rFonts w:ascii="Garamond" w:hAnsi="Garamond"/>
          <w:i/>
        </w:rPr>
        <w:t>(floating charge)</w:t>
      </w:r>
    </w:p>
    <w:p w:rsidR="00EB30BC" w:rsidRDefault="00EB30BC" w:rsidP="00EB30BC">
      <w:pPr>
        <w:pBdr>
          <w:bottom w:val="single" w:sz="6" w:space="1" w:color="auto"/>
        </w:pBdr>
        <w:ind w:firstLine="720"/>
        <w:jc w:val="both"/>
        <w:rPr>
          <w:rFonts w:ascii="Garamond" w:hAnsi="Garamond"/>
          <w:iCs/>
        </w:rPr>
      </w:pPr>
      <w:r w:rsidRPr="00824A12">
        <w:rPr>
          <w:rFonts w:ascii="Garamond" w:hAnsi="Garamond"/>
        </w:rPr>
        <w:t xml:space="preserve">- </w:t>
      </w:r>
      <w:r w:rsidRPr="00824A12">
        <w:rPr>
          <w:rFonts w:ascii="Garamond" w:hAnsi="Garamond"/>
          <w:i/>
          <w:iCs/>
        </w:rPr>
        <w:t>Re Panama, New Zealand, and Australian Royal Mail Co</w:t>
      </w:r>
      <w:r w:rsidR="00C6728C" w:rsidRPr="00824A12">
        <w:rPr>
          <w:rFonts w:ascii="Garamond" w:hAnsi="Garamond"/>
          <w:iCs/>
        </w:rPr>
        <w:t xml:space="preserve"> (1870) 5 Ch App 318</w:t>
      </w:r>
    </w:p>
    <w:p w:rsidR="00CE521B" w:rsidRDefault="00CE521B" w:rsidP="00EB30BC">
      <w:pPr>
        <w:pBdr>
          <w:bottom w:val="single" w:sz="6" w:space="1" w:color="auto"/>
        </w:pBdr>
        <w:ind w:firstLine="720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 xml:space="preserve">- </w:t>
      </w:r>
      <w:r w:rsidRPr="00CE521B">
        <w:rPr>
          <w:rFonts w:ascii="Garamond" w:hAnsi="Garamond"/>
          <w:i/>
          <w:iCs/>
        </w:rPr>
        <w:t>Re Florence Land &amp; Public Works Co.</w:t>
      </w:r>
      <w:r>
        <w:rPr>
          <w:rFonts w:ascii="Garamond" w:hAnsi="Garamond"/>
          <w:iCs/>
        </w:rPr>
        <w:t xml:space="preserve"> </w:t>
      </w:r>
      <w:r w:rsidRPr="00CE521B">
        <w:rPr>
          <w:rFonts w:ascii="Garamond" w:hAnsi="Garamond"/>
          <w:iCs/>
        </w:rPr>
        <w:t>(1878) 10 ChD 530</w:t>
      </w:r>
    </w:p>
    <w:p w:rsidR="00CE521B" w:rsidRDefault="00CE521B" w:rsidP="00EB30BC">
      <w:pPr>
        <w:pBdr>
          <w:bottom w:val="single" w:sz="6" w:space="1" w:color="auto"/>
        </w:pBdr>
        <w:ind w:firstLine="720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 xml:space="preserve">- </w:t>
      </w:r>
      <w:r w:rsidRPr="00CE521B">
        <w:rPr>
          <w:rFonts w:ascii="Garamond" w:hAnsi="Garamond"/>
          <w:i/>
          <w:iCs/>
        </w:rPr>
        <w:t>Evans v Rival Granite Quarries Ltd</w:t>
      </w:r>
      <w:r>
        <w:rPr>
          <w:rFonts w:ascii="Garamond" w:hAnsi="Garamond"/>
          <w:iCs/>
        </w:rPr>
        <w:t xml:space="preserve"> </w:t>
      </w:r>
      <w:r w:rsidRPr="00CE521B">
        <w:rPr>
          <w:rFonts w:ascii="Garamond" w:hAnsi="Garamond"/>
          <w:iCs/>
        </w:rPr>
        <w:t>[1910] 2 KB 979</w:t>
      </w:r>
    </w:p>
    <w:p w:rsidR="000B1377" w:rsidRDefault="000B1377" w:rsidP="00EB30BC">
      <w:pPr>
        <w:pBdr>
          <w:bottom w:val="single" w:sz="6" w:space="1" w:color="auto"/>
        </w:pBdr>
        <w:ind w:firstLine="720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 xml:space="preserve">- </w:t>
      </w:r>
      <w:r w:rsidRPr="000B1377">
        <w:rPr>
          <w:rFonts w:ascii="Garamond" w:hAnsi="Garamond"/>
          <w:i/>
          <w:iCs/>
        </w:rPr>
        <w:t>Re Yorkshire Woolcombers Association Ltd</w:t>
      </w:r>
      <w:r>
        <w:rPr>
          <w:rFonts w:ascii="Garamond" w:hAnsi="Garamond"/>
          <w:i/>
          <w:iCs/>
        </w:rPr>
        <w:t xml:space="preserve"> </w:t>
      </w:r>
      <w:r>
        <w:rPr>
          <w:rFonts w:ascii="Garamond" w:hAnsi="Garamond"/>
          <w:iCs/>
        </w:rPr>
        <w:t>(1903) 2 Ch</w:t>
      </w:r>
      <w:r w:rsidRPr="000B1377">
        <w:rPr>
          <w:rFonts w:ascii="Garamond" w:hAnsi="Garamond"/>
          <w:iCs/>
        </w:rPr>
        <w:t xml:space="preserve"> 284</w:t>
      </w:r>
    </w:p>
    <w:p w:rsidR="000B1377" w:rsidRPr="000B1377" w:rsidRDefault="000B1377" w:rsidP="00EB30BC">
      <w:pPr>
        <w:pBdr>
          <w:bottom w:val="single" w:sz="6" w:space="1" w:color="auto"/>
        </w:pBdr>
        <w:ind w:firstLine="720"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 xml:space="preserve">- </w:t>
      </w:r>
      <w:r w:rsidRPr="000B1377">
        <w:rPr>
          <w:rFonts w:ascii="Garamond" w:hAnsi="Garamond"/>
          <w:i/>
          <w:iCs/>
        </w:rPr>
        <w:t>Re Spectrum Plus Ltd</w:t>
      </w:r>
      <w:r w:rsidRPr="000B1377">
        <w:rPr>
          <w:rFonts w:ascii="Garamond" w:hAnsi="Garamond"/>
          <w:iCs/>
        </w:rPr>
        <w:t xml:space="preserve"> [2005] UKHL 41</w:t>
      </w:r>
    </w:p>
    <w:p w:rsidR="00EB30BC" w:rsidRPr="00824A12" w:rsidRDefault="00EB30BC" w:rsidP="00B30730">
      <w:pPr>
        <w:pBdr>
          <w:bottom w:val="single" w:sz="6" w:space="1" w:color="auto"/>
        </w:pBdr>
        <w:jc w:val="both"/>
        <w:rPr>
          <w:rFonts w:ascii="Garamond" w:hAnsi="Garamond"/>
          <w:sz w:val="22"/>
          <w:szCs w:val="22"/>
        </w:rPr>
      </w:pPr>
    </w:p>
    <w:p w:rsidR="00361804" w:rsidRPr="00824A12" w:rsidRDefault="00361804" w:rsidP="00294334">
      <w:pPr>
        <w:jc w:val="both"/>
        <w:rPr>
          <w:rFonts w:ascii="Garamond" w:hAnsi="Garamond"/>
          <w:b/>
          <w:smallCaps/>
          <w:sz w:val="22"/>
          <w:szCs w:val="22"/>
        </w:rPr>
      </w:pPr>
      <w:r w:rsidRPr="00824A12">
        <w:rPr>
          <w:rFonts w:ascii="Garamond" w:hAnsi="Garamond"/>
          <w:b/>
          <w:smallCaps/>
          <w:sz w:val="22"/>
          <w:szCs w:val="22"/>
        </w:rPr>
        <w:t>Számonkérési és értékelési rendszer:</w:t>
      </w:r>
    </w:p>
    <w:p w:rsidR="0006343F" w:rsidRPr="00824A12" w:rsidRDefault="0006343F" w:rsidP="00294334">
      <w:pPr>
        <w:jc w:val="both"/>
        <w:rPr>
          <w:rFonts w:ascii="Garamond" w:hAnsi="Garamond"/>
          <w:b/>
          <w:smallCaps/>
          <w:sz w:val="22"/>
          <w:szCs w:val="22"/>
        </w:rPr>
      </w:pPr>
    </w:p>
    <w:p w:rsidR="00B30730" w:rsidRPr="00824A12" w:rsidRDefault="00B30730" w:rsidP="00B30730">
      <w:pPr>
        <w:jc w:val="both"/>
        <w:rPr>
          <w:rFonts w:ascii="Garamond" w:hAnsi="Garamond"/>
          <w:b/>
          <w:sz w:val="22"/>
          <w:szCs w:val="22"/>
        </w:rPr>
      </w:pPr>
    </w:p>
    <w:p w:rsidR="00C6728C" w:rsidRPr="00824A12" w:rsidRDefault="001B3383" w:rsidP="00C6728C">
      <w:pPr>
        <w:pBdr>
          <w:bottom w:val="single" w:sz="6" w:space="1" w:color="auto"/>
        </w:pBdr>
        <w:jc w:val="both"/>
        <w:rPr>
          <w:rFonts w:ascii="Garamond" w:hAnsi="Garamond"/>
        </w:rPr>
      </w:pPr>
      <w:r w:rsidRPr="00824A12">
        <w:rPr>
          <w:rFonts w:ascii="Garamond" w:hAnsi="Garamond"/>
        </w:rPr>
        <w:t xml:space="preserve">A kurzus ötfokozatú értékeléssel zárul. </w:t>
      </w:r>
      <w:r w:rsidR="00C6728C" w:rsidRPr="00824A12">
        <w:rPr>
          <w:rFonts w:ascii="Garamond" w:hAnsi="Garamond"/>
        </w:rPr>
        <w:t xml:space="preserve">Az értékelés alapvetően az órai munka alapján történik. Amennyiben a hallgató a megajánlott értékelést nem fogadja el, lehetőség van szóbeli beszámolóra a szorgalmi időszak végén. </w:t>
      </w:r>
    </w:p>
    <w:p w:rsidR="00C6728C" w:rsidRPr="00824A12" w:rsidRDefault="00C6728C" w:rsidP="00C6728C">
      <w:pPr>
        <w:pBdr>
          <w:bottom w:val="single" w:sz="6" w:space="1" w:color="auto"/>
        </w:pBdr>
        <w:jc w:val="both"/>
        <w:rPr>
          <w:rFonts w:ascii="Garamond" w:hAnsi="Garamond"/>
        </w:rPr>
      </w:pPr>
    </w:p>
    <w:p w:rsidR="00C6728C" w:rsidRPr="00824A12" w:rsidRDefault="00C6728C" w:rsidP="00C6728C">
      <w:pPr>
        <w:pBdr>
          <w:bottom w:val="single" w:sz="6" w:space="1" w:color="auto"/>
        </w:pBdr>
        <w:jc w:val="both"/>
        <w:rPr>
          <w:rFonts w:ascii="Garamond" w:hAnsi="Garamond"/>
        </w:rPr>
      </w:pPr>
      <w:r w:rsidRPr="00824A12">
        <w:rPr>
          <w:rFonts w:ascii="Garamond" w:hAnsi="Garamond"/>
        </w:rPr>
        <w:t xml:space="preserve">A szeminárium sikeres teljesítésének a feltétele, hogy a hallgató hiányzásainak a száma a hármat ne haladja meg. </w:t>
      </w:r>
    </w:p>
    <w:p w:rsidR="00B30730" w:rsidRPr="00824A12" w:rsidRDefault="00B30730" w:rsidP="00B30730">
      <w:pPr>
        <w:pBdr>
          <w:bottom w:val="single" w:sz="6" w:space="1" w:color="auto"/>
        </w:pBdr>
        <w:jc w:val="both"/>
        <w:rPr>
          <w:rFonts w:ascii="Garamond" w:hAnsi="Garamond"/>
          <w:sz w:val="22"/>
          <w:szCs w:val="22"/>
        </w:rPr>
      </w:pPr>
    </w:p>
    <w:p w:rsidR="00B30730" w:rsidRPr="00824A12" w:rsidRDefault="00B30730" w:rsidP="00B30730">
      <w:pPr>
        <w:pBdr>
          <w:bottom w:val="single" w:sz="6" w:space="1" w:color="auto"/>
        </w:pBdr>
        <w:jc w:val="both"/>
        <w:rPr>
          <w:rFonts w:ascii="Garamond" w:hAnsi="Garamond"/>
          <w:sz w:val="22"/>
          <w:szCs w:val="22"/>
        </w:rPr>
      </w:pPr>
    </w:p>
    <w:p w:rsidR="001B3383" w:rsidRPr="00824A12" w:rsidRDefault="001B3383" w:rsidP="00294334">
      <w:pPr>
        <w:jc w:val="both"/>
        <w:rPr>
          <w:rFonts w:ascii="Garamond" w:hAnsi="Garamond"/>
          <w:sz w:val="22"/>
          <w:szCs w:val="22"/>
        </w:rPr>
      </w:pPr>
    </w:p>
    <w:p w:rsidR="00361804" w:rsidRPr="00824A12" w:rsidRDefault="00044A62" w:rsidP="00294334">
      <w:pPr>
        <w:jc w:val="both"/>
        <w:rPr>
          <w:rFonts w:ascii="Garamond" w:hAnsi="Garamond"/>
          <w:b/>
          <w:smallCaps/>
          <w:sz w:val="22"/>
          <w:szCs w:val="22"/>
        </w:rPr>
      </w:pPr>
      <w:r w:rsidRPr="00824A12">
        <w:rPr>
          <w:rFonts w:ascii="Garamond" w:hAnsi="Garamond"/>
          <w:b/>
          <w:smallCaps/>
          <w:sz w:val="22"/>
          <w:szCs w:val="22"/>
        </w:rPr>
        <w:t>Kötelező i</w:t>
      </w:r>
      <w:r w:rsidR="00361804" w:rsidRPr="00824A12">
        <w:rPr>
          <w:rFonts w:ascii="Garamond" w:hAnsi="Garamond"/>
          <w:b/>
          <w:smallCaps/>
          <w:sz w:val="22"/>
          <w:szCs w:val="22"/>
        </w:rPr>
        <w:t>rodalom:</w:t>
      </w:r>
    </w:p>
    <w:p w:rsidR="001B3383" w:rsidRPr="00824A12" w:rsidRDefault="001B3383" w:rsidP="00294334">
      <w:pPr>
        <w:jc w:val="both"/>
        <w:rPr>
          <w:rFonts w:ascii="Garamond" w:hAnsi="Garamond"/>
          <w:b/>
          <w:smallCaps/>
          <w:sz w:val="22"/>
          <w:szCs w:val="22"/>
        </w:rPr>
      </w:pPr>
    </w:p>
    <w:p w:rsidR="001B3383" w:rsidRPr="00824A12" w:rsidRDefault="001B3383" w:rsidP="00294334">
      <w:pPr>
        <w:jc w:val="both"/>
        <w:rPr>
          <w:rFonts w:ascii="Garamond" w:hAnsi="Garamond"/>
        </w:rPr>
      </w:pPr>
      <w:r w:rsidRPr="00824A12">
        <w:rPr>
          <w:rFonts w:ascii="Garamond" w:hAnsi="Garamond"/>
        </w:rPr>
        <w:t>A kurzus</w:t>
      </w:r>
      <w:r w:rsidR="001729B9" w:rsidRPr="00824A12">
        <w:rPr>
          <w:rFonts w:ascii="Garamond" w:hAnsi="Garamond"/>
        </w:rPr>
        <w:t>on olvasandó források</w:t>
      </w:r>
      <w:r w:rsidR="005F5A8C">
        <w:rPr>
          <w:rFonts w:ascii="Garamond" w:hAnsi="Garamond"/>
        </w:rPr>
        <w:t>, ill. egyéb kötelező irodalom</w:t>
      </w:r>
      <w:r w:rsidR="001729B9" w:rsidRPr="00824A12">
        <w:rPr>
          <w:rFonts w:ascii="Garamond" w:hAnsi="Garamond"/>
        </w:rPr>
        <w:t xml:space="preserve"> a kurzus Canvas-oldalán lesznek elérhetőek.</w:t>
      </w:r>
    </w:p>
    <w:p w:rsidR="000B7209" w:rsidRPr="00824A12" w:rsidRDefault="000B7209" w:rsidP="00294334">
      <w:pPr>
        <w:jc w:val="both"/>
        <w:rPr>
          <w:rFonts w:ascii="Garamond" w:hAnsi="Garamond"/>
        </w:rPr>
      </w:pPr>
    </w:p>
    <w:p w:rsidR="00044A62" w:rsidRPr="00824A12" w:rsidRDefault="00044A62" w:rsidP="00044A62">
      <w:pPr>
        <w:pBdr>
          <w:bottom w:val="single" w:sz="6" w:space="1" w:color="auto"/>
        </w:pBdr>
        <w:jc w:val="both"/>
        <w:rPr>
          <w:rFonts w:ascii="Garamond" w:hAnsi="Garamond"/>
          <w:sz w:val="22"/>
          <w:szCs w:val="22"/>
        </w:rPr>
      </w:pPr>
    </w:p>
    <w:p w:rsidR="00044A62" w:rsidRPr="00824A12" w:rsidRDefault="00044A62" w:rsidP="00044A62">
      <w:pPr>
        <w:jc w:val="both"/>
        <w:rPr>
          <w:rFonts w:ascii="Garamond" w:hAnsi="Garamond"/>
          <w:sz w:val="22"/>
          <w:szCs w:val="22"/>
        </w:rPr>
      </w:pPr>
    </w:p>
    <w:p w:rsidR="00044A62" w:rsidRPr="00824A12" w:rsidRDefault="00044A62" w:rsidP="00044A62">
      <w:pPr>
        <w:jc w:val="both"/>
        <w:rPr>
          <w:rFonts w:ascii="Garamond" w:hAnsi="Garamond"/>
          <w:b/>
          <w:smallCaps/>
          <w:sz w:val="22"/>
          <w:szCs w:val="22"/>
        </w:rPr>
      </w:pPr>
      <w:r w:rsidRPr="00824A12">
        <w:rPr>
          <w:rFonts w:ascii="Garamond" w:hAnsi="Garamond"/>
          <w:b/>
          <w:smallCaps/>
          <w:sz w:val="22"/>
          <w:szCs w:val="22"/>
        </w:rPr>
        <w:t>Ajánlott irodalom:</w:t>
      </w:r>
    </w:p>
    <w:p w:rsidR="00044A62" w:rsidRPr="00824A12" w:rsidRDefault="00044A62" w:rsidP="00044A62">
      <w:pPr>
        <w:jc w:val="both"/>
        <w:rPr>
          <w:rFonts w:ascii="Garamond" w:hAnsi="Garamond"/>
          <w:b/>
          <w:smallCaps/>
          <w:sz w:val="22"/>
          <w:szCs w:val="22"/>
        </w:rPr>
      </w:pPr>
    </w:p>
    <w:p w:rsidR="000B7209" w:rsidRPr="00824A12" w:rsidRDefault="000B7209" w:rsidP="00294334">
      <w:pPr>
        <w:jc w:val="both"/>
        <w:rPr>
          <w:rFonts w:ascii="Garamond" w:hAnsi="Garamond"/>
        </w:rPr>
      </w:pPr>
      <w:r w:rsidRPr="00824A12">
        <w:rPr>
          <w:rFonts w:ascii="Garamond" w:hAnsi="Garamond"/>
        </w:rPr>
        <w:t>Az angol jogtörténethez általában ajánlott irodalom:</w:t>
      </w:r>
    </w:p>
    <w:p w:rsidR="00044A62" w:rsidRPr="00824A12" w:rsidRDefault="00044A62" w:rsidP="00294334">
      <w:pPr>
        <w:jc w:val="both"/>
        <w:rPr>
          <w:rFonts w:ascii="Garamond" w:hAnsi="Garamond"/>
        </w:rPr>
      </w:pPr>
    </w:p>
    <w:p w:rsidR="000B7209" w:rsidRPr="00824A12" w:rsidRDefault="000B7209" w:rsidP="00294334">
      <w:pPr>
        <w:jc w:val="both"/>
        <w:rPr>
          <w:rFonts w:ascii="Garamond" w:hAnsi="Garamond"/>
          <w:b/>
          <w:smallCaps/>
          <w:sz w:val="22"/>
          <w:szCs w:val="22"/>
        </w:rPr>
      </w:pPr>
      <w:r w:rsidRPr="00824A12">
        <w:rPr>
          <w:rFonts w:ascii="Garamond" w:hAnsi="Garamond"/>
        </w:rPr>
        <w:t>Sir John Ba</w:t>
      </w:r>
      <w:r w:rsidR="00824A12">
        <w:rPr>
          <w:rFonts w:ascii="Garamond" w:hAnsi="Garamond"/>
        </w:rPr>
        <w:t>ker:</w:t>
      </w:r>
      <w:r w:rsidRPr="00824A12">
        <w:rPr>
          <w:rFonts w:ascii="Garamond" w:hAnsi="Garamond"/>
        </w:rPr>
        <w:t xml:space="preserve"> </w:t>
      </w:r>
      <w:r w:rsidRPr="00824A12">
        <w:rPr>
          <w:rFonts w:ascii="Garamond" w:hAnsi="Garamond"/>
          <w:i/>
        </w:rPr>
        <w:t>An Introduction to English Legal History</w:t>
      </w:r>
      <w:r w:rsidRPr="00824A12">
        <w:rPr>
          <w:rFonts w:ascii="Garamond" w:hAnsi="Garamond"/>
        </w:rPr>
        <w:t xml:space="preserve"> (5th edn, Oxford 2019) – </w:t>
      </w:r>
      <w:r w:rsidR="00A928EC" w:rsidRPr="00824A12">
        <w:rPr>
          <w:rFonts w:ascii="Garamond" w:hAnsi="Garamond"/>
        </w:rPr>
        <w:t xml:space="preserve">elérhető </w:t>
      </w:r>
      <w:r w:rsidRPr="00824A12">
        <w:rPr>
          <w:rFonts w:ascii="Garamond" w:hAnsi="Garamond"/>
        </w:rPr>
        <w:t xml:space="preserve">a </w:t>
      </w:r>
      <w:r w:rsidR="00A928EC" w:rsidRPr="00824A12">
        <w:rPr>
          <w:rFonts w:ascii="Garamond" w:hAnsi="Garamond"/>
        </w:rPr>
        <w:t xml:space="preserve">kari könyvtárban, illetve az </w:t>
      </w:r>
      <w:hyperlink r:id="rId7" w:history="1">
        <w:r w:rsidR="00A928EC" w:rsidRPr="00824A12">
          <w:rPr>
            <w:rStyle w:val="Hiperhivatkozs"/>
            <w:rFonts w:ascii="Garamond" w:hAnsi="Garamond"/>
          </w:rPr>
          <w:t>https://academic.oup.com/</w:t>
        </w:r>
      </w:hyperlink>
      <w:r w:rsidR="00A928EC" w:rsidRPr="00824A12">
        <w:rPr>
          <w:rFonts w:ascii="Garamond" w:hAnsi="Garamond"/>
        </w:rPr>
        <w:t xml:space="preserve"> oldalon is VPN (Forticlient) bejelentkezés után</w:t>
      </w:r>
    </w:p>
    <w:p w:rsidR="0006343F" w:rsidRPr="00824A12" w:rsidRDefault="0006343F" w:rsidP="00294334">
      <w:pPr>
        <w:jc w:val="both"/>
        <w:rPr>
          <w:rFonts w:ascii="Garamond" w:hAnsi="Garamond"/>
          <w:b/>
          <w:smallCaps/>
          <w:sz w:val="22"/>
          <w:szCs w:val="22"/>
        </w:rPr>
      </w:pPr>
    </w:p>
    <w:p w:rsidR="00B30730" w:rsidRPr="00824A12" w:rsidRDefault="00B30730" w:rsidP="00B30730">
      <w:pPr>
        <w:pBdr>
          <w:bottom w:val="single" w:sz="6" w:space="1" w:color="auto"/>
        </w:pBdr>
        <w:jc w:val="both"/>
        <w:rPr>
          <w:rFonts w:ascii="Garamond" w:hAnsi="Garamond"/>
          <w:sz w:val="22"/>
          <w:szCs w:val="22"/>
        </w:rPr>
      </w:pPr>
    </w:p>
    <w:p w:rsidR="00AC7366" w:rsidRPr="00824A12" w:rsidRDefault="00AC7366" w:rsidP="00E222DA">
      <w:pPr>
        <w:jc w:val="both"/>
        <w:rPr>
          <w:rFonts w:ascii="Garamond" w:hAnsi="Garamond"/>
          <w:b/>
          <w:sz w:val="22"/>
          <w:szCs w:val="22"/>
        </w:rPr>
      </w:pPr>
    </w:p>
    <w:p w:rsidR="000C545F" w:rsidRPr="00824A12" w:rsidRDefault="000C545F" w:rsidP="00361804">
      <w:pPr>
        <w:jc w:val="both"/>
        <w:rPr>
          <w:rFonts w:ascii="Garamond" w:hAnsi="Garamond"/>
          <w:b/>
          <w:sz w:val="22"/>
          <w:szCs w:val="22"/>
        </w:rPr>
      </w:pPr>
      <w:r w:rsidRPr="00824A12">
        <w:rPr>
          <w:rFonts w:ascii="Garamond" w:hAnsi="Garamond"/>
          <w:b/>
          <w:smallCaps/>
          <w:sz w:val="22"/>
          <w:szCs w:val="22"/>
        </w:rPr>
        <w:t>Tárgyfelelős:</w:t>
      </w:r>
      <w:r w:rsidRPr="00824A12">
        <w:rPr>
          <w:rFonts w:ascii="Garamond" w:hAnsi="Garamond"/>
          <w:b/>
          <w:sz w:val="22"/>
          <w:szCs w:val="22"/>
        </w:rPr>
        <w:t xml:space="preserve">  </w:t>
      </w:r>
    </w:p>
    <w:p w:rsidR="000C545F" w:rsidRPr="00824A12" w:rsidRDefault="000C545F" w:rsidP="00361804">
      <w:pPr>
        <w:jc w:val="both"/>
        <w:rPr>
          <w:rFonts w:ascii="Garamond" w:hAnsi="Garamond"/>
          <w:b/>
          <w:sz w:val="22"/>
          <w:szCs w:val="22"/>
        </w:rPr>
      </w:pPr>
    </w:p>
    <w:p w:rsidR="00361804" w:rsidRDefault="00C53BF3" w:rsidP="00361804">
      <w:pPr>
        <w:jc w:val="both"/>
        <w:rPr>
          <w:rFonts w:ascii="Garamond" w:hAnsi="Garamond"/>
        </w:rPr>
      </w:pPr>
      <w:r w:rsidRPr="00824A12">
        <w:rPr>
          <w:rFonts w:ascii="Garamond" w:hAnsi="Garamond"/>
        </w:rPr>
        <w:t>D</w:t>
      </w:r>
      <w:r w:rsidR="00A00506" w:rsidRPr="00824A12">
        <w:rPr>
          <w:rFonts w:ascii="Garamond" w:hAnsi="Garamond"/>
        </w:rPr>
        <w:t xml:space="preserve">r. </w:t>
      </w:r>
      <w:r w:rsidR="00EB30BC" w:rsidRPr="00824A12">
        <w:rPr>
          <w:rFonts w:ascii="Garamond" w:hAnsi="Garamond"/>
        </w:rPr>
        <w:t>Csizmazia Norbert</w:t>
      </w:r>
    </w:p>
    <w:p w:rsidR="00361804" w:rsidRPr="00824A12" w:rsidRDefault="00361804" w:rsidP="00361804">
      <w:pPr>
        <w:jc w:val="both"/>
        <w:rPr>
          <w:rFonts w:ascii="Garamond" w:hAnsi="Garamond"/>
          <w:b/>
          <w:sz w:val="22"/>
          <w:szCs w:val="22"/>
        </w:rPr>
      </w:pPr>
    </w:p>
    <w:p w:rsidR="00361804" w:rsidRPr="00824A12" w:rsidRDefault="00361804" w:rsidP="00361804">
      <w:pPr>
        <w:jc w:val="both"/>
        <w:rPr>
          <w:rFonts w:ascii="Garamond" w:hAnsi="Garamond"/>
          <w:b/>
          <w:sz w:val="22"/>
          <w:szCs w:val="22"/>
        </w:rPr>
      </w:pPr>
    </w:p>
    <w:p w:rsidR="00361804" w:rsidRPr="00824A12" w:rsidRDefault="00361804" w:rsidP="00361804">
      <w:pPr>
        <w:jc w:val="both"/>
        <w:rPr>
          <w:rFonts w:ascii="Garamond" w:hAnsi="Garamond"/>
          <w:b/>
          <w:sz w:val="22"/>
          <w:szCs w:val="22"/>
        </w:rPr>
      </w:pPr>
    </w:p>
    <w:p w:rsidR="00361804" w:rsidRPr="00824A12" w:rsidRDefault="000C545F" w:rsidP="00294334">
      <w:pPr>
        <w:jc w:val="both"/>
        <w:rPr>
          <w:rFonts w:ascii="Garamond" w:hAnsi="Garamond"/>
          <w:b/>
          <w:sz w:val="22"/>
          <w:szCs w:val="22"/>
        </w:rPr>
      </w:pPr>
      <w:r w:rsidRPr="00824A12">
        <w:rPr>
          <w:rFonts w:ascii="Garamond" w:hAnsi="Garamond"/>
          <w:b/>
          <w:sz w:val="22"/>
          <w:szCs w:val="22"/>
        </w:rPr>
        <w:t xml:space="preserve"> </w:t>
      </w:r>
    </w:p>
    <w:sectPr w:rsidR="00361804" w:rsidRPr="00824A12" w:rsidSect="008958C2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959" w:right="1268" w:bottom="851" w:left="1418" w:header="426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5A1" w:rsidRDefault="002C65A1" w:rsidP="00B267E0">
      <w:r>
        <w:separator/>
      </w:r>
    </w:p>
  </w:endnote>
  <w:endnote w:type="continuationSeparator" w:id="0">
    <w:p w:rsidR="002C65A1" w:rsidRDefault="002C65A1" w:rsidP="00B2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BookHu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aramondBoldHun">
    <w:charset w:val="00"/>
    <w:family w:val="auto"/>
    <w:pitch w:val="variable"/>
    <w:sig w:usb0="00000003" w:usb1="00000000" w:usb2="00000000" w:usb3="00000000" w:csb0="00000001" w:csb1="00000000"/>
  </w:font>
  <w:font w:name="GaramondLightHu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AF" w:rsidRPr="005C22AF" w:rsidRDefault="00E26E2D" w:rsidP="005C22AF">
    <w:pPr>
      <w:pStyle w:val="llb"/>
      <w:jc w:val="both"/>
      <w:rPr>
        <w:rFonts w:ascii="Garamond" w:hAnsi="Garamond"/>
        <w:color w:val="3B3C3B"/>
        <w:sz w:val="16"/>
        <w:szCs w:val="16"/>
      </w:rPr>
    </w:pPr>
    <w:r w:rsidRPr="005C22AF">
      <w:rPr>
        <w:rFonts w:ascii="Garamond" w:hAnsi="Garamond"/>
        <w:color w:val="3B3C3B"/>
        <w:sz w:val="16"/>
        <w:szCs w:val="16"/>
        <w:lang w:val="en-GB"/>
      </w:rPr>
      <w:t xml:space="preserve">Eötvös Loránd Tudományegyetem Állam- és Jogtudományi Kar  1053 Budapest, Egyetem tér 1-3. tel +36 1 411 6500  </w:t>
    </w:r>
    <w:hyperlink r:id="rId1" w:history="1">
      <w:r w:rsidRPr="005C22AF">
        <w:rPr>
          <w:rStyle w:val="Hiperhivatkozs"/>
          <w:rFonts w:ascii="Garamond" w:hAnsi="Garamond"/>
          <w:color w:val="3B3C3B"/>
          <w:sz w:val="16"/>
          <w:szCs w:val="16"/>
          <w:u w:val="none"/>
          <w:lang w:val="en-GB"/>
        </w:rPr>
        <w:t>www.ajk.elte.hu</w:t>
      </w:r>
    </w:hyperlink>
    <w:r>
      <w:rPr>
        <w:rStyle w:val="Hiperhivatkozs"/>
        <w:rFonts w:ascii="Garamond" w:hAnsi="Garamond"/>
        <w:color w:val="3B3C3B"/>
        <w:sz w:val="16"/>
        <w:szCs w:val="16"/>
        <w:u w:val="none"/>
        <w:lang w:val="en-GB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2AF" w:rsidRPr="008B5240" w:rsidRDefault="00E26E2D" w:rsidP="005C22AF">
    <w:pPr>
      <w:pStyle w:val="llb"/>
      <w:jc w:val="both"/>
      <w:rPr>
        <w:rFonts w:ascii="Garamond" w:hAnsi="Garamond"/>
        <w:color w:val="3B3C3B"/>
        <w:sz w:val="16"/>
        <w:szCs w:val="16"/>
      </w:rPr>
    </w:pPr>
    <w:r w:rsidRPr="008B5240">
      <w:rPr>
        <w:rFonts w:ascii="Garamond" w:hAnsi="Garamond"/>
        <w:color w:val="3B3C3B"/>
        <w:sz w:val="16"/>
        <w:szCs w:val="16"/>
      </w:rPr>
      <w:t xml:space="preserve">Eötvös Loránd Tudományegyetem Állam- és Jogtudományi Kar  1053 Budapest, Egyetem tér 1-3. tel +36 1 411 6500  </w:t>
    </w:r>
    <w:hyperlink r:id="rId1" w:history="1">
      <w:r w:rsidRPr="008B5240">
        <w:rPr>
          <w:rStyle w:val="Hiperhivatkozs"/>
          <w:rFonts w:ascii="Garamond" w:hAnsi="Garamond"/>
          <w:color w:val="3B3C3B"/>
          <w:sz w:val="16"/>
          <w:szCs w:val="16"/>
          <w:u w:val="none"/>
        </w:rPr>
        <w:t>www.ajk.elte.hu</w:t>
      </w:r>
    </w:hyperlink>
    <w:r w:rsidRPr="008B5240">
      <w:rPr>
        <w:rStyle w:val="Hiperhivatkozs"/>
        <w:rFonts w:ascii="Garamond" w:hAnsi="Garamond"/>
        <w:color w:val="3B3C3B"/>
        <w:sz w:val="16"/>
        <w:szCs w:val="16"/>
        <w:u w:val="none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5A1" w:rsidRDefault="002C65A1" w:rsidP="00B267E0">
      <w:r>
        <w:separator/>
      </w:r>
    </w:p>
  </w:footnote>
  <w:footnote w:type="continuationSeparator" w:id="0">
    <w:p w:rsidR="002C65A1" w:rsidRDefault="002C65A1" w:rsidP="00B26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64C" w:rsidRPr="00CF0826" w:rsidRDefault="00AA51F3" w:rsidP="00A15360">
    <w:pPr>
      <w:pStyle w:val="BasicParagraph"/>
      <w:rPr>
        <w:rFonts w:ascii="Times New Roman" w:hAnsi="Times New Roman"/>
      </w:rPr>
    </w:pPr>
    <w:r>
      <w:rPr>
        <w:rFonts w:ascii="Times New Roman" w:hAnsi="Times New Roman"/>
        <w:noProof/>
        <w:lang w:eastAsia="hu-HU"/>
      </w:rPr>
      <w:drawing>
        <wp:inline distT="0" distB="0" distL="0" distR="0">
          <wp:extent cx="1940560" cy="89408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560" cy="89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64C" w:rsidRPr="00A375A3" w:rsidRDefault="00AA51F3" w:rsidP="0093764C">
    <w:pPr>
      <w:pStyle w:val="lfej"/>
      <w:tabs>
        <w:tab w:val="left" w:pos="142"/>
      </w:tabs>
    </w:pPr>
    <w:r>
      <w:rPr>
        <w:noProof/>
        <w:lang w:eastAsia="hu-H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-321310</wp:posOffset>
          </wp:positionH>
          <wp:positionV relativeFrom="paragraph">
            <wp:posOffset>-3810</wp:posOffset>
          </wp:positionV>
          <wp:extent cx="2992120" cy="822960"/>
          <wp:effectExtent l="0" t="0" r="0" b="0"/>
          <wp:wrapTight wrapText="bothSides">
            <wp:wrapPolygon edited="0">
              <wp:start x="2338" y="500"/>
              <wp:lineTo x="1375" y="2000"/>
              <wp:lineTo x="138" y="7000"/>
              <wp:lineTo x="550" y="17000"/>
              <wp:lineTo x="1925" y="20500"/>
              <wp:lineTo x="2200" y="20500"/>
              <wp:lineTo x="4263" y="20500"/>
              <wp:lineTo x="5363" y="20500"/>
              <wp:lineTo x="21591" y="17000"/>
              <wp:lineTo x="21591" y="13000"/>
              <wp:lineTo x="21453" y="11000"/>
              <wp:lineTo x="20903" y="8500"/>
              <wp:lineTo x="21453" y="4500"/>
              <wp:lineTo x="17328" y="2500"/>
              <wp:lineTo x="4126" y="500"/>
              <wp:lineTo x="2338" y="500"/>
            </wp:wrapPolygon>
          </wp:wrapTight>
          <wp:docPr id="4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212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3764C" w:rsidRPr="00C93D42" w:rsidRDefault="00E26E2D" w:rsidP="00361804">
    <w:pPr>
      <w:pStyle w:val="BasicParagraph"/>
      <w:tabs>
        <w:tab w:val="right" w:pos="8497"/>
      </w:tabs>
      <w:jc w:val="right"/>
      <w:rPr>
        <w:rFonts w:ascii="Garamond" w:hAnsi="Garamond" w:cs="GaramondLightHun"/>
        <w:color w:val="3B3C3B"/>
        <w:sz w:val="16"/>
        <w:szCs w:val="16"/>
      </w:rPr>
    </w:pPr>
    <w:r>
      <w:rPr>
        <w:rFonts w:ascii="GaramondBookHun" w:hAnsi="GaramondBookHun" w:cs="GaramondBoldHun"/>
        <w:b/>
        <w:bCs/>
        <w:color w:val="002626"/>
        <w:sz w:val="16"/>
        <w:szCs w:val="16"/>
        <w:lang w:val="en-GB"/>
      </w:rPr>
      <w:tab/>
    </w:r>
  </w:p>
  <w:p w:rsidR="0093764C" w:rsidRPr="00C93D42" w:rsidRDefault="002C65A1">
    <w:pPr>
      <w:pStyle w:val="lfej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44"/>
    <w:rsid w:val="00020DF6"/>
    <w:rsid w:val="000268EE"/>
    <w:rsid w:val="00044A62"/>
    <w:rsid w:val="00047222"/>
    <w:rsid w:val="0006343F"/>
    <w:rsid w:val="000756FB"/>
    <w:rsid w:val="0009743E"/>
    <w:rsid w:val="000B1377"/>
    <w:rsid w:val="000B4AD9"/>
    <w:rsid w:val="000B7209"/>
    <w:rsid w:val="000C545F"/>
    <w:rsid w:val="00140A45"/>
    <w:rsid w:val="001656E3"/>
    <w:rsid w:val="001729B9"/>
    <w:rsid w:val="00181057"/>
    <w:rsid w:val="001964F6"/>
    <w:rsid w:val="001B09C2"/>
    <w:rsid w:val="001B3383"/>
    <w:rsid w:val="001E5E2D"/>
    <w:rsid w:val="001F2C1A"/>
    <w:rsid w:val="00202F7D"/>
    <w:rsid w:val="0021124B"/>
    <w:rsid w:val="00221E65"/>
    <w:rsid w:val="00223741"/>
    <w:rsid w:val="00250565"/>
    <w:rsid w:val="0025363A"/>
    <w:rsid w:val="00265B8F"/>
    <w:rsid w:val="00287601"/>
    <w:rsid w:val="00294334"/>
    <w:rsid w:val="002A26A7"/>
    <w:rsid w:val="002B4EEE"/>
    <w:rsid w:val="002C65A1"/>
    <w:rsid w:val="00305613"/>
    <w:rsid w:val="0032793C"/>
    <w:rsid w:val="00335BBD"/>
    <w:rsid w:val="00344225"/>
    <w:rsid w:val="00361804"/>
    <w:rsid w:val="00363F11"/>
    <w:rsid w:val="00393DB7"/>
    <w:rsid w:val="003C7A8E"/>
    <w:rsid w:val="003F2C45"/>
    <w:rsid w:val="003F5C75"/>
    <w:rsid w:val="004201EC"/>
    <w:rsid w:val="00423F6E"/>
    <w:rsid w:val="00481F60"/>
    <w:rsid w:val="004C7F9C"/>
    <w:rsid w:val="004D6AEB"/>
    <w:rsid w:val="00522279"/>
    <w:rsid w:val="00540F98"/>
    <w:rsid w:val="0054757A"/>
    <w:rsid w:val="00595FD3"/>
    <w:rsid w:val="005F5A8C"/>
    <w:rsid w:val="005F6682"/>
    <w:rsid w:val="00636217"/>
    <w:rsid w:val="006452BF"/>
    <w:rsid w:val="0066596C"/>
    <w:rsid w:val="0067715E"/>
    <w:rsid w:val="00691065"/>
    <w:rsid w:val="00692B24"/>
    <w:rsid w:val="006A2776"/>
    <w:rsid w:val="006F5951"/>
    <w:rsid w:val="00706376"/>
    <w:rsid w:val="007065EC"/>
    <w:rsid w:val="0073199D"/>
    <w:rsid w:val="00742810"/>
    <w:rsid w:val="00774AC3"/>
    <w:rsid w:val="00790655"/>
    <w:rsid w:val="007E16CE"/>
    <w:rsid w:val="007E6B52"/>
    <w:rsid w:val="007F5C4A"/>
    <w:rsid w:val="0081693E"/>
    <w:rsid w:val="00824A12"/>
    <w:rsid w:val="00860594"/>
    <w:rsid w:val="00892C88"/>
    <w:rsid w:val="008958C2"/>
    <w:rsid w:val="008A2725"/>
    <w:rsid w:val="008B2E1B"/>
    <w:rsid w:val="008B5240"/>
    <w:rsid w:val="008C7B49"/>
    <w:rsid w:val="008D60AB"/>
    <w:rsid w:val="008F6545"/>
    <w:rsid w:val="009033FF"/>
    <w:rsid w:val="00903C6D"/>
    <w:rsid w:val="00932A21"/>
    <w:rsid w:val="009B7371"/>
    <w:rsid w:val="009E09F1"/>
    <w:rsid w:val="009F0C2E"/>
    <w:rsid w:val="009F5439"/>
    <w:rsid w:val="00A00506"/>
    <w:rsid w:val="00A33B77"/>
    <w:rsid w:val="00A367B8"/>
    <w:rsid w:val="00A57FD8"/>
    <w:rsid w:val="00A928EC"/>
    <w:rsid w:val="00AA51F3"/>
    <w:rsid w:val="00AB2C80"/>
    <w:rsid w:val="00AC7366"/>
    <w:rsid w:val="00AD512F"/>
    <w:rsid w:val="00B30730"/>
    <w:rsid w:val="00B47CDA"/>
    <w:rsid w:val="00B54176"/>
    <w:rsid w:val="00B549E4"/>
    <w:rsid w:val="00B562B6"/>
    <w:rsid w:val="00B765C4"/>
    <w:rsid w:val="00BA501D"/>
    <w:rsid w:val="00BF306F"/>
    <w:rsid w:val="00C0024D"/>
    <w:rsid w:val="00C24855"/>
    <w:rsid w:val="00C36C22"/>
    <w:rsid w:val="00C5084C"/>
    <w:rsid w:val="00C53BF3"/>
    <w:rsid w:val="00C60DBF"/>
    <w:rsid w:val="00C6728C"/>
    <w:rsid w:val="00C93D42"/>
    <w:rsid w:val="00CA2683"/>
    <w:rsid w:val="00CC1E42"/>
    <w:rsid w:val="00CE521B"/>
    <w:rsid w:val="00CF24C9"/>
    <w:rsid w:val="00CF68A4"/>
    <w:rsid w:val="00CF71E3"/>
    <w:rsid w:val="00D428E3"/>
    <w:rsid w:val="00D43E46"/>
    <w:rsid w:val="00D63546"/>
    <w:rsid w:val="00D907C3"/>
    <w:rsid w:val="00D92B42"/>
    <w:rsid w:val="00DC221E"/>
    <w:rsid w:val="00DF6892"/>
    <w:rsid w:val="00DF69CB"/>
    <w:rsid w:val="00DF7086"/>
    <w:rsid w:val="00E14C4E"/>
    <w:rsid w:val="00E222DA"/>
    <w:rsid w:val="00E26E2D"/>
    <w:rsid w:val="00E37E4D"/>
    <w:rsid w:val="00E5345D"/>
    <w:rsid w:val="00E660BC"/>
    <w:rsid w:val="00E80764"/>
    <w:rsid w:val="00EA203E"/>
    <w:rsid w:val="00EA35BE"/>
    <w:rsid w:val="00EB30BC"/>
    <w:rsid w:val="00F13364"/>
    <w:rsid w:val="00F17EF6"/>
    <w:rsid w:val="00F859CA"/>
    <w:rsid w:val="00FB4118"/>
    <w:rsid w:val="00FB4294"/>
    <w:rsid w:val="00FC4244"/>
    <w:rsid w:val="00FE55C7"/>
    <w:rsid w:val="00FF2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7553A1"/>
  <w15:docId w15:val="{E216766C-3506-40BF-AB29-9A9F8616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0BC4"/>
    <w:rPr>
      <w:sz w:val="24"/>
      <w:szCs w:val="24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F787E"/>
    <w:rPr>
      <w:rFonts w:ascii="Lucida Grande" w:hAnsi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F787E"/>
    <w:rPr>
      <w:rFonts w:ascii="Lucida Grande" w:hAnsi="Lucida Grande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267E0"/>
  </w:style>
  <w:style w:type="paragraph" w:styleId="llb">
    <w:name w:val="footer"/>
    <w:basedOn w:val="Norml"/>
    <w:link w:val="llbChar"/>
    <w:uiPriority w:val="99"/>
    <w:unhideWhenUsed/>
    <w:rsid w:val="00B267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267E0"/>
  </w:style>
  <w:style w:type="paragraph" w:customStyle="1" w:styleId="BasicParagraph">
    <w:name w:val="[Basic Paragraph]"/>
    <w:basedOn w:val="Norml"/>
    <w:uiPriority w:val="99"/>
    <w:rsid w:val="00B369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uiPriority w:val="99"/>
    <w:unhideWhenUsed/>
    <w:rsid w:val="002031B0"/>
    <w:rPr>
      <w:color w:val="0000FF"/>
      <w:u w:val="single"/>
    </w:rPr>
  </w:style>
  <w:style w:type="character" w:styleId="Mrltotthiperhivatkozs">
    <w:name w:val="FollowedHyperlink"/>
    <w:uiPriority w:val="99"/>
    <w:semiHidden/>
    <w:unhideWhenUsed/>
    <w:rsid w:val="003638DE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E222DA"/>
    <w:pPr>
      <w:spacing w:before="100" w:beforeAutospacing="1" w:after="100" w:afterAutospacing="1"/>
    </w:pPr>
    <w:rPr>
      <w:rFonts w:ascii="Times New Roman" w:eastAsia="Times New Roman" w:hAnsi="Times New Roman"/>
      <w:lang w:eastAsia="hu-HU"/>
    </w:rPr>
  </w:style>
  <w:style w:type="character" w:styleId="Kiemels2">
    <w:name w:val="Strong"/>
    <w:basedOn w:val="Bekezdsalapbettpusa"/>
    <w:uiPriority w:val="22"/>
    <w:qFormat/>
    <w:rsid w:val="00E222DA"/>
    <w:rPr>
      <w:b/>
      <w:bCs/>
    </w:rPr>
  </w:style>
  <w:style w:type="paragraph" w:styleId="Listaszerbekezds">
    <w:name w:val="List Paragraph"/>
    <w:basedOn w:val="Norml"/>
    <w:uiPriority w:val="34"/>
    <w:qFormat/>
    <w:rsid w:val="00EB3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academic.oup.co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rbert.csizmazia@ajk.elte.hu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jk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czianlilla\AppData\Roaming\Microsoft\Templates\Tanulm&#225;nyi%20Hivatal%20-%20Fejl&#233;ces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Tanulmányi Hivatal - Fejléces papír</Template>
  <TotalTime>101</TotalTime>
  <Pages>2</Pages>
  <Words>753</Words>
  <Characters>3917</Characters>
  <Application>Microsoft Office Word</Application>
  <DocSecurity>0</DocSecurity>
  <Lines>57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 ÁJK</Company>
  <LinksUpToDate>false</LinksUpToDate>
  <CharactersWithSpaces>4662</CharactersWithSpaces>
  <SharedDoc>false</SharedDoc>
  <HLinks>
    <vt:vector size="12" baseType="variant"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http://www.ajk.elte.hu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koczianlilla</dc:creator>
  <cp:lastModifiedBy>Norbert Csizmazia</cp:lastModifiedBy>
  <cp:revision>10</cp:revision>
  <cp:lastPrinted>2015-07-03T10:18:00Z</cp:lastPrinted>
  <dcterms:created xsi:type="dcterms:W3CDTF">2024-01-17T23:43:00Z</dcterms:created>
  <dcterms:modified xsi:type="dcterms:W3CDTF">2024-02-05T11:45:00Z</dcterms:modified>
</cp:coreProperties>
</file>