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AD" w:rsidRPr="00F835DD" w:rsidRDefault="000541AD" w:rsidP="00F835DD">
      <w:pPr>
        <w:spacing w:line="360" w:lineRule="auto"/>
        <w:jc w:val="center"/>
        <w:rPr>
          <w:rFonts w:ascii="Garamond" w:hAnsi="Garamond"/>
          <w:b/>
        </w:rPr>
      </w:pPr>
      <w:r w:rsidRPr="00F835DD">
        <w:rPr>
          <w:rFonts w:ascii="Garamond" w:hAnsi="Garamond"/>
          <w:b/>
        </w:rPr>
        <w:t>Bizonyításelméletek a jog világában</w:t>
      </w:r>
    </w:p>
    <w:p w:rsidR="00072EA6" w:rsidRPr="00F835DD" w:rsidRDefault="00523FD7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2017-</w:t>
      </w:r>
      <w:bookmarkStart w:id="0" w:name="_GoBack"/>
      <w:bookmarkEnd w:id="0"/>
      <w:r w:rsidR="008B0317" w:rsidRPr="00F835DD">
        <w:rPr>
          <w:rFonts w:ascii="Garamond" w:hAnsi="Garamond"/>
        </w:rPr>
        <w:t>201</w:t>
      </w:r>
      <w:r w:rsidR="00E1407E">
        <w:rPr>
          <w:rFonts w:ascii="Garamond" w:hAnsi="Garamond"/>
        </w:rPr>
        <w:t>8</w:t>
      </w:r>
      <w:r w:rsidR="008B0317" w:rsidRPr="00F835DD">
        <w:rPr>
          <w:rFonts w:ascii="Garamond" w:hAnsi="Garamond"/>
        </w:rPr>
        <w:t>. tavaszi</w:t>
      </w:r>
      <w:r w:rsidR="00072EA6" w:rsidRPr="00F835DD">
        <w:rPr>
          <w:rFonts w:ascii="Garamond" w:hAnsi="Garamond"/>
        </w:rPr>
        <w:t xml:space="preserve"> szemeszter</w:t>
      </w:r>
    </w:p>
    <w:p w:rsidR="00F47AF4" w:rsidRPr="00F835DD" w:rsidRDefault="00F835DD" w:rsidP="00F835DD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Fakult</w:t>
      </w:r>
      <w:r w:rsidR="005C19E0">
        <w:rPr>
          <w:rFonts w:ascii="Garamond" w:hAnsi="Garamond"/>
        </w:rPr>
        <w:t>atív kurzus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  <w:r w:rsidRPr="00F835DD">
        <w:rPr>
          <w:rFonts w:ascii="Garamond" w:hAnsi="Garamond"/>
        </w:rPr>
        <w:t xml:space="preserve">ELTE </w:t>
      </w:r>
      <w:r w:rsidR="008B0317" w:rsidRPr="00F835DD">
        <w:rPr>
          <w:rFonts w:ascii="Garamond" w:hAnsi="Garamond"/>
        </w:rPr>
        <w:t>Büntető Eljárásjogi és Büntetés-végrehajtási Jogi</w:t>
      </w:r>
      <w:r w:rsidRPr="00F835DD">
        <w:rPr>
          <w:rFonts w:ascii="Garamond" w:hAnsi="Garamond"/>
        </w:rPr>
        <w:t xml:space="preserve"> Tanszék</w:t>
      </w:r>
    </w:p>
    <w:p w:rsidR="00072EA6" w:rsidRPr="00F835DD" w:rsidRDefault="00072EA6" w:rsidP="00F835DD">
      <w:pPr>
        <w:spacing w:line="360" w:lineRule="auto"/>
        <w:jc w:val="center"/>
        <w:rPr>
          <w:rFonts w:ascii="Garamond" w:hAnsi="Garamond"/>
        </w:rPr>
      </w:pP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Oktató:</w:t>
      </w:r>
      <w:r w:rsidR="008B0317" w:rsidRPr="00F835DD">
        <w:rPr>
          <w:rFonts w:ascii="Garamond" w:hAnsi="Garamond"/>
        </w:rPr>
        <w:t xml:space="preserve"> </w:t>
      </w:r>
      <w:r w:rsidR="0052388B" w:rsidRPr="00F835DD">
        <w:rPr>
          <w:rFonts w:ascii="Garamond" w:hAnsi="Garamond"/>
        </w:rPr>
        <w:t>dr</w:t>
      </w:r>
      <w:r w:rsidR="005F6B38" w:rsidRPr="00F835DD">
        <w:rPr>
          <w:rFonts w:ascii="Garamond" w:hAnsi="Garamond"/>
        </w:rPr>
        <w:t xml:space="preserve">. </w:t>
      </w:r>
      <w:r w:rsidR="00167CAF" w:rsidRPr="00F835DD">
        <w:rPr>
          <w:rFonts w:ascii="Garamond" w:hAnsi="Garamond"/>
        </w:rPr>
        <w:t>Finszter Géza</w:t>
      </w:r>
    </w:p>
    <w:p w:rsidR="008B0317" w:rsidRPr="00E76D18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 xml:space="preserve">Időpont: </w:t>
      </w:r>
      <w:r w:rsidR="006E10D9">
        <w:rPr>
          <w:rFonts w:ascii="Garamond" w:hAnsi="Garamond"/>
        </w:rPr>
        <w:t>szerda</w:t>
      </w:r>
      <w:r w:rsidR="00E76D18">
        <w:rPr>
          <w:rFonts w:ascii="Garamond" w:hAnsi="Garamond"/>
        </w:rPr>
        <w:t xml:space="preserve"> 16:00-18:00</w:t>
      </w:r>
    </w:p>
    <w:p w:rsidR="00072EA6" w:rsidRPr="00F835DD" w:rsidRDefault="008B0317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Helyszín:</w:t>
      </w:r>
      <w:r w:rsidR="006B57F1" w:rsidRPr="00F835DD">
        <w:rPr>
          <w:rFonts w:ascii="Garamond" w:hAnsi="Garamond"/>
        </w:rPr>
        <w:t xml:space="preserve"> </w:t>
      </w: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t>Tárgyfelvevők:</w:t>
      </w:r>
      <w:r w:rsidR="008B0317" w:rsidRPr="00F835DD">
        <w:rPr>
          <w:rFonts w:ascii="Garamond" w:hAnsi="Garamond"/>
        </w:rPr>
        <w:t xml:space="preserve"> joghallgatók</w:t>
      </w:r>
    </w:p>
    <w:p w:rsidR="00072EA6" w:rsidRPr="005C19E0" w:rsidRDefault="00072EA6" w:rsidP="00F835DD">
      <w:pPr>
        <w:spacing w:line="360" w:lineRule="auto"/>
        <w:jc w:val="both"/>
        <w:rPr>
          <w:rFonts w:ascii="Garamond" w:hAnsi="Garamond"/>
        </w:rPr>
      </w:pPr>
      <w:r w:rsidRPr="005C19E0">
        <w:rPr>
          <w:rFonts w:ascii="Garamond" w:hAnsi="Garamond"/>
          <w:b/>
        </w:rPr>
        <w:t>Számonkérés formája</w:t>
      </w:r>
      <w:r w:rsidR="005C19E0">
        <w:rPr>
          <w:rFonts w:ascii="Garamond" w:hAnsi="Garamond"/>
          <w:b/>
        </w:rPr>
        <w:t>, vizsgakövetelmény</w:t>
      </w:r>
      <w:r w:rsidRPr="005C19E0">
        <w:rPr>
          <w:rFonts w:ascii="Garamond" w:hAnsi="Garamond"/>
          <w:b/>
        </w:rPr>
        <w:t xml:space="preserve">: </w:t>
      </w:r>
      <w:r w:rsidR="00167CAF" w:rsidRPr="005C19E0">
        <w:rPr>
          <w:rFonts w:ascii="Garamond" w:hAnsi="Garamond"/>
        </w:rPr>
        <w:t>a szemináriumi munka értékelése, gyakorlati jegy.</w:t>
      </w:r>
    </w:p>
    <w:p w:rsidR="005C19E0" w:rsidRPr="00523FD7" w:rsidRDefault="005C19E0" w:rsidP="00F835DD">
      <w:pPr>
        <w:spacing w:line="360" w:lineRule="auto"/>
        <w:jc w:val="both"/>
        <w:rPr>
          <w:rFonts w:ascii="Garamond" w:hAnsi="Garamond"/>
          <w:b/>
        </w:rPr>
      </w:pPr>
      <w:r w:rsidRPr="00523FD7">
        <w:rPr>
          <w:rFonts w:ascii="Garamond" w:hAnsi="Garamond"/>
          <w:b/>
        </w:rPr>
        <w:t>Számonkérés gyakorisága és ütemezése:</w:t>
      </w:r>
      <w:r w:rsidR="00872C07" w:rsidRPr="00523FD7">
        <w:rPr>
          <w:rFonts w:ascii="Garamond" w:hAnsi="Garamond"/>
          <w:b/>
        </w:rPr>
        <w:t xml:space="preserve"> A szemináriumi munkában való részvétel, jogesetmegoldás folyamatosan, félévet záró házi dolgozat</w:t>
      </w:r>
    </w:p>
    <w:p w:rsidR="00072EA6" w:rsidRPr="00F835DD" w:rsidRDefault="00072EA6" w:rsidP="00F835DD">
      <w:pPr>
        <w:spacing w:line="360" w:lineRule="auto"/>
        <w:jc w:val="both"/>
        <w:rPr>
          <w:rFonts w:ascii="Garamond" w:hAnsi="Garamond"/>
        </w:rPr>
      </w:pPr>
    </w:p>
    <w:p w:rsidR="00F47AF4" w:rsidRPr="00F835DD" w:rsidRDefault="00E1407E" w:rsidP="00F835DD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Foglalkozás-</w:t>
      </w:r>
      <w:r w:rsidR="00072EA6" w:rsidRPr="00F835DD">
        <w:rPr>
          <w:rFonts w:ascii="Garamond" w:hAnsi="Garamond"/>
          <w:b/>
        </w:rPr>
        <w:t>tematika</w:t>
      </w:r>
      <w:r w:rsidR="005C0CB9" w:rsidRPr="00F835DD">
        <w:rPr>
          <w:rFonts w:ascii="Garamond" w:hAnsi="Garamond"/>
          <w:b/>
        </w:rPr>
        <w:t>:</w:t>
      </w:r>
    </w:p>
    <w:p w:rsidR="004F3DDF" w:rsidRPr="00F835DD" w:rsidRDefault="004F3DDF" w:rsidP="00F835DD">
      <w:pPr>
        <w:spacing w:line="360" w:lineRule="auto"/>
        <w:jc w:val="both"/>
        <w:rPr>
          <w:rFonts w:ascii="Garamond" w:hAnsi="Garamond"/>
          <w:b/>
        </w:rPr>
      </w:pP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1.</w:t>
      </w:r>
      <w:r w:rsidRPr="00F835DD">
        <w:rPr>
          <w:rFonts w:ascii="Garamond" w:eastAsiaTheme="minorEastAsia" w:hAnsi="Garamond" w:cstheme="minorBidi"/>
          <w:lang w:eastAsia="ja-JP"/>
        </w:rPr>
        <w:tab/>
        <w:t>A bizonyítás és a bizonyíték fogalma, a bizonyítékok osztályozása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2.</w:t>
      </w:r>
      <w:r w:rsidRPr="00F835DD">
        <w:rPr>
          <w:rFonts w:ascii="Garamond" w:eastAsiaTheme="minorEastAsia" w:hAnsi="Garamond" w:cstheme="minorBidi"/>
          <w:lang w:eastAsia="ja-JP"/>
        </w:rPr>
        <w:tab/>
        <w:t>A processzuális bizonyításelmélet</w:t>
      </w:r>
      <w:r w:rsidR="00E1407E">
        <w:rPr>
          <w:rFonts w:ascii="Garamond" w:eastAsiaTheme="minorEastAsia" w:hAnsi="Garamond" w:cstheme="minorBidi"/>
          <w:lang w:eastAsia="ja-JP"/>
        </w:rPr>
        <w:t>, a bizonyítási eszközök és a bizonyítási cselekmények</w:t>
      </w:r>
    </w:p>
    <w:p w:rsidR="00167CAF" w:rsidRPr="00F835DD" w:rsidRDefault="00167CAF" w:rsidP="00F835DD">
      <w:pPr>
        <w:spacing w:after="120" w:line="360" w:lineRule="auto"/>
        <w:ind w:left="709" w:hanging="709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3.</w:t>
      </w:r>
      <w:r w:rsidRPr="00F835DD">
        <w:rPr>
          <w:rFonts w:ascii="Garamond" w:eastAsiaTheme="minorEastAsia" w:hAnsi="Garamond" w:cstheme="minorBidi"/>
          <w:lang w:eastAsia="ja-JP"/>
        </w:rPr>
        <w:tab/>
        <w:t>A büntetőeljárási bizonyítás sajátosságai (összetettség, akadályok, hatalmi jelleg, szabályozhatóság)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4.</w:t>
      </w:r>
      <w:r w:rsidRPr="00F835DD">
        <w:rPr>
          <w:rFonts w:ascii="Garamond" w:eastAsiaTheme="minorEastAsia" w:hAnsi="Garamond" w:cstheme="minorBidi"/>
          <w:lang w:eastAsia="ja-JP"/>
        </w:rPr>
        <w:tab/>
        <w:t>Az előkészítő eljárás</w:t>
      </w:r>
      <w:r w:rsidR="00E1407E">
        <w:rPr>
          <w:rFonts w:ascii="Garamond" w:eastAsiaTheme="minorEastAsia" w:hAnsi="Garamond" w:cstheme="minorBidi"/>
          <w:lang w:eastAsia="ja-JP"/>
        </w:rPr>
        <w:t>, a nyomozás és a vizsgálat</w:t>
      </w:r>
      <w:r w:rsidRPr="00F835DD">
        <w:rPr>
          <w:rFonts w:ascii="Garamond" w:eastAsiaTheme="minorEastAsia" w:hAnsi="Garamond" w:cstheme="minorBidi"/>
          <w:lang w:eastAsia="ja-JP"/>
        </w:rPr>
        <w:t xml:space="preserve"> és a tárgyalás kriminalisztikai nézőpontból</w:t>
      </w:r>
    </w:p>
    <w:p w:rsidR="00167CAF" w:rsidRPr="00F835DD" w:rsidRDefault="00167CAF" w:rsidP="00F835DD">
      <w:pPr>
        <w:spacing w:after="120" w:line="360" w:lineRule="auto"/>
        <w:ind w:left="709" w:hanging="709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5.</w:t>
      </w:r>
      <w:r w:rsidRPr="00F835DD">
        <w:rPr>
          <w:rFonts w:ascii="Garamond" w:eastAsiaTheme="minorEastAsia" w:hAnsi="Garamond" w:cstheme="minorBidi"/>
          <w:lang w:eastAsia="ja-JP"/>
        </w:rPr>
        <w:tab/>
        <w:t>A kriminalisztikai bizonyításelmélet (nyomelmélet, azonosítás-elmélet, a múlt rekonstrukciója)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6.</w:t>
      </w:r>
      <w:r w:rsidRPr="00F835DD">
        <w:rPr>
          <w:rFonts w:ascii="Garamond" w:eastAsiaTheme="minorEastAsia" w:hAnsi="Garamond" w:cstheme="minorBidi"/>
          <w:lang w:eastAsia="ja-JP"/>
        </w:rPr>
        <w:tab/>
        <w:t>A perrendszerű bizonyítás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7.</w:t>
      </w:r>
      <w:r w:rsidRPr="00F835DD">
        <w:rPr>
          <w:rFonts w:ascii="Garamond" w:eastAsiaTheme="minorEastAsia" w:hAnsi="Garamond" w:cstheme="minorBidi"/>
          <w:lang w:eastAsia="ja-JP"/>
        </w:rPr>
        <w:tab/>
        <w:t>Reform nézetek a bizonyításról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8.</w:t>
      </w:r>
      <w:r w:rsidRPr="00F835DD">
        <w:rPr>
          <w:rFonts w:ascii="Garamond" w:eastAsiaTheme="minorEastAsia" w:hAnsi="Garamond" w:cstheme="minorBidi"/>
          <w:lang w:eastAsia="ja-JP"/>
        </w:rPr>
        <w:tab/>
        <w:t>A szakértői bizonyítás,a különleges szakértelem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9.</w:t>
      </w:r>
      <w:r w:rsidRPr="00F835DD">
        <w:rPr>
          <w:rFonts w:ascii="Garamond" w:eastAsiaTheme="minorEastAsia" w:hAnsi="Garamond" w:cstheme="minorBidi"/>
          <w:lang w:eastAsia="ja-JP"/>
        </w:rPr>
        <w:tab/>
        <w:t>Az igazságügyi szakértői szervezetek</w:t>
      </w:r>
      <w:r w:rsidRPr="00F835DD">
        <w:rPr>
          <w:rFonts w:ascii="Garamond" w:eastAsiaTheme="minorEastAsia" w:hAnsi="Garamond" w:cstheme="minorBidi"/>
          <w:lang w:eastAsia="ja-JP"/>
        </w:rPr>
        <w:tab/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10.</w:t>
      </w:r>
      <w:r w:rsidRPr="00F835DD">
        <w:rPr>
          <w:rFonts w:ascii="Garamond" w:eastAsiaTheme="minorEastAsia" w:hAnsi="Garamond" w:cstheme="minorBidi"/>
          <w:lang w:eastAsia="ja-JP"/>
        </w:rPr>
        <w:tab/>
        <w:t xml:space="preserve">A bűnügyi nyilvántartás 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11.</w:t>
      </w:r>
      <w:r w:rsidRPr="00F835DD">
        <w:rPr>
          <w:rFonts w:ascii="Garamond" w:eastAsiaTheme="minorEastAsia" w:hAnsi="Garamond" w:cstheme="minorBidi"/>
          <w:lang w:eastAsia="ja-JP"/>
        </w:rPr>
        <w:tab/>
        <w:t>Bűnüldözési stratégiák</w:t>
      </w:r>
    </w:p>
    <w:p w:rsidR="00167CAF" w:rsidRPr="00F835DD" w:rsidRDefault="00167CAF" w:rsidP="00F835DD">
      <w:pPr>
        <w:spacing w:after="120" w:line="360" w:lineRule="auto"/>
        <w:jc w:val="both"/>
        <w:rPr>
          <w:rFonts w:ascii="Garamond" w:eastAsiaTheme="minorEastAsia" w:hAnsi="Garamond" w:cstheme="minorBidi"/>
          <w:lang w:eastAsia="ja-JP"/>
        </w:rPr>
      </w:pPr>
      <w:r w:rsidRPr="00F835DD">
        <w:rPr>
          <w:rFonts w:ascii="Garamond" w:eastAsiaTheme="minorEastAsia" w:hAnsi="Garamond" w:cstheme="minorBidi"/>
          <w:lang w:eastAsia="ja-JP"/>
        </w:rPr>
        <w:t>12.</w:t>
      </w:r>
      <w:r w:rsidRPr="00F835DD">
        <w:rPr>
          <w:rFonts w:ascii="Garamond" w:eastAsiaTheme="minorEastAsia" w:hAnsi="Garamond" w:cstheme="minorBidi"/>
          <w:lang w:eastAsia="ja-JP"/>
        </w:rPr>
        <w:tab/>
        <w:t>A titkos felderítés kriminalisztikája</w:t>
      </w:r>
    </w:p>
    <w:p w:rsidR="004F3DDF" w:rsidRPr="00F835DD" w:rsidRDefault="005F6B38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  <w:b/>
        </w:rPr>
        <w:lastRenderedPageBreak/>
        <w:t>Tananyag:</w:t>
      </w:r>
    </w:p>
    <w:p w:rsidR="00FC0B60" w:rsidRDefault="00F835DD" w:rsidP="00F835D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Finszter</w:t>
      </w:r>
      <w:r w:rsidR="00167CAF" w:rsidRPr="00F835DD">
        <w:rPr>
          <w:rFonts w:ascii="Garamond" w:hAnsi="Garamond"/>
          <w:color w:val="000000"/>
        </w:rPr>
        <w:t xml:space="preserve"> Géza: </w:t>
      </w:r>
      <w:r w:rsidR="00FC0B60">
        <w:rPr>
          <w:rFonts w:ascii="Garamond" w:hAnsi="Garamond"/>
          <w:color w:val="000000"/>
        </w:rPr>
        <w:t>Bizonyításelméletek a jog világában, Pázmány Press, Budapest, 2015</w:t>
      </w:r>
    </w:p>
    <w:p w:rsidR="00167CAF" w:rsidRDefault="00167CAF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</w:rPr>
        <w:t>Bócz Endre - Finszter Géza: Kriminalisztika joghallgatóknak, Bp., Magyar Közlöny Lap- és Könyvkiadó, 2008.</w:t>
      </w:r>
    </w:p>
    <w:p w:rsidR="00FC0B60" w:rsidRDefault="00FC0B60" w:rsidP="00FC0B60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Erdei Árpád: Tanok és tévtanok a büntető eljárásjog tudományában, Eötvös Kiadó, Budapest, 2011</w:t>
      </w:r>
    </w:p>
    <w:p w:rsidR="00E1407E" w:rsidRDefault="00E1407E" w:rsidP="00FC0B60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Nyeste Péter: A titkos információgyűjtés lehetséges és szükséges reformja, Belügyi Szemle, 2015/1. szám</w:t>
      </w:r>
    </w:p>
    <w:p w:rsidR="00FC0B60" w:rsidRPr="00F835DD" w:rsidRDefault="00FC0B60" w:rsidP="00F835DD">
      <w:pPr>
        <w:spacing w:line="360" w:lineRule="auto"/>
        <w:jc w:val="both"/>
        <w:rPr>
          <w:rFonts w:ascii="Garamond" w:hAnsi="Garamond"/>
          <w:b/>
          <w:smallCaps/>
        </w:rPr>
      </w:pPr>
    </w:p>
    <w:p w:rsidR="00F47AF4" w:rsidRPr="00F835DD" w:rsidRDefault="00167CAF" w:rsidP="00F835DD">
      <w:pPr>
        <w:spacing w:line="360" w:lineRule="auto"/>
        <w:jc w:val="both"/>
        <w:rPr>
          <w:rFonts w:ascii="Garamond" w:hAnsi="Garamond"/>
          <w:b/>
        </w:rPr>
      </w:pPr>
      <w:r w:rsidRPr="00F835DD">
        <w:rPr>
          <w:rFonts w:ascii="Garamond" w:hAnsi="Garamond"/>
          <w:b/>
        </w:rPr>
        <w:t>A</w:t>
      </w:r>
      <w:r w:rsidR="005F6B38" w:rsidRPr="00F835DD">
        <w:rPr>
          <w:rFonts w:ascii="Garamond" w:hAnsi="Garamond"/>
          <w:b/>
        </w:rPr>
        <w:t xml:space="preserve">jánlott </w:t>
      </w:r>
      <w:r w:rsidR="00F47AF4" w:rsidRPr="00F835DD">
        <w:rPr>
          <w:rFonts w:ascii="Garamond" w:hAnsi="Garamond"/>
          <w:b/>
        </w:rPr>
        <w:t>irodalom:</w:t>
      </w:r>
    </w:p>
    <w:p w:rsidR="006E10D9" w:rsidRDefault="00FC0B60" w:rsidP="00F835DD">
      <w:pPr>
        <w:pStyle w:val="Jegyzetszveg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Fenyvesi Csaba: A kriminalisztika tendenciái, Dialóg-Campus, Budapest-Pécs, 2014</w:t>
      </w:r>
    </w:p>
    <w:p w:rsidR="00167CAF" w:rsidRPr="00F835DD" w:rsidRDefault="00167CAF" w:rsidP="00F835DD">
      <w:pPr>
        <w:pStyle w:val="Jegyzetszveg"/>
        <w:spacing w:line="360" w:lineRule="auto"/>
        <w:jc w:val="both"/>
        <w:rPr>
          <w:rFonts w:ascii="Garamond" w:hAnsi="Garamond"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60 év – 60 bűncselekmény Belügyi Szemle Külön Szám, 2013.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 xml:space="preserve">Gödöny József: Bizonyítás a nyomozásban, Közgazdasági és Jogi Könyvkiadó, 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 xml:space="preserve">Budapest, 1968. 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Hack Péter: A büntetőhatalom függetlensége és számon kérhetősége, Magyar Közlöny Lap- és Könyvkiadó.</w:t>
      </w:r>
    </w:p>
    <w:p w:rsidR="00167CAF" w:rsidRPr="00F835DD" w:rsidRDefault="00167CAF" w:rsidP="00F835DD">
      <w:pPr>
        <w:pStyle w:val="Lbjegyzetszveg"/>
        <w:spacing w:line="360" w:lineRule="auto"/>
        <w:rPr>
          <w:rFonts w:ascii="Garamond" w:hAnsi="Garamond"/>
          <w:b/>
          <w:sz w:val="24"/>
          <w:szCs w:val="24"/>
        </w:rPr>
      </w:pPr>
      <w:r w:rsidRPr="00F835DD">
        <w:rPr>
          <w:rFonts w:ascii="Garamond" w:hAnsi="Garamond"/>
          <w:sz w:val="24"/>
          <w:szCs w:val="24"/>
        </w:rPr>
        <w:t>Nyíri Sándor: A fedett nyomozó – Belügyi Szemle, 1999/12. szám.</w:t>
      </w:r>
    </w:p>
    <w:p w:rsidR="000960AC" w:rsidRDefault="00167CAF" w:rsidP="00F835DD">
      <w:pPr>
        <w:spacing w:line="360" w:lineRule="auto"/>
        <w:jc w:val="both"/>
        <w:rPr>
          <w:rFonts w:ascii="Garamond" w:hAnsi="Garamond"/>
        </w:rPr>
      </w:pPr>
      <w:r w:rsidRPr="00F835DD">
        <w:rPr>
          <w:rFonts w:ascii="Garamond" w:hAnsi="Garamond"/>
        </w:rPr>
        <w:t>Rendészeti Szemle 2007/12. szám.</w:t>
      </w:r>
    </w:p>
    <w:p w:rsidR="006E10D9" w:rsidRPr="00F835DD" w:rsidRDefault="006E10D9" w:rsidP="006E10D9">
      <w:pPr>
        <w:spacing w:line="360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Katona Géza: A bűnüldözés fél évszázada, BM Kiadó, Budapest, 1998</w:t>
      </w:r>
    </w:p>
    <w:sectPr w:rsidR="006E10D9" w:rsidRPr="00F835DD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A3" w:rsidRDefault="008E39A3" w:rsidP="006F31A9">
      <w:r>
        <w:separator/>
      </w:r>
    </w:p>
  </w:endnote>
  <w:endnote w:type="continuationSeparator" w:id="0">
    <w:p w:rsidR="008E39A3" w:rsidRDefault="008E39A3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-Times New Roman"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Budapest,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A3" w:rsidRDefault="008E39A3" w:rsidP="006F31A9">
      <w:r>
        <w:separator/>
      </w:r>
    </w:p>
  </w:footnote>
  <w:footnote w:type="continuationSeparator" w:id="0">
    <w:p w:rsidR="008E39A3" w:rsidRDefault="008E39A3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545902"/>
      <w:docPartObj>
        <w:docPartGallery w:val="Page Numbers (Top of Page)"/>
        <w:docPartUnique/>
      </w:docPartObj>
    </w:sdtPr>
    <w:sdtEndPr/>
    <w:sdtContent>
      <w:p w:rsidR="00E1407E" w:rsidRDefault="00E1407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D7">
          <w:rPr>
            <w:noProof/>
          </w:rPr>
          <w:t>2</w:t>
        </w:r>
        <w:r>
          <w:fldChar w:fldCharType="end"/>
        </w:r>
      </w:p>
    </w:sdtContent>
  </w:sdt>
  <w:p w:rsidR="00DD0B73" w:rsidRPr="00CF0826" w:rsidRDefault="00DD0B73" w:rsidP="006F31A9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73" w:rsidRPr="00A375A3" w:rsidRDefault="00DD0B73" w:rsidP="006F31A9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Büntető  Eljárásjogi </w:t>
    </w:r>
  </w:p>
  <w:p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33C2F"/>
    <w:multiLevelType w:val="hybridMultilevel"/>
    <w:tmpl w:val="06E4A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2F4"/>
    <w:multiLevelType w:val="hybridMultilevel"/>
    <w:tmpl w:val="74F8B1A4"/>
    <w:lvl w:ilvl="0" w:tplc="4E3E1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5042FB"/>
    <w:multiLevelType w:val="hybridMultilevel"/>
    <w:tmpl w:val="0194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A"/>
    <w:rsid w:val="00010480"/>
    <w:rsid w:val="000211C0"/>
    <w:rsid w:val="00050FBA"/>
    <w:rsid w:val="000517A4"/>
    <w:rsid w:val="00051A15"/>
    <w:rsid w:val="000541AD"/>
    <w:rsid w:val="000568B3"/>
    <w:rsid w:val="00072EA6"/>
    <w:rsid w:val="000769E9"/>
    <w:rsid w:val="000960AC"/>
    <w:rsid w:val="000B1315"/>
    <w:rsid w:val="000C0E74"/>
    <w:rsid w:val="00107EDA"/>
    <w:rsid w:val="001513A2"/>
    <w:rsid w:val="00167CAF"/>
    <w:rsid w:val="001B2E2E"/>
    <w:rsid w:val="001C2EB8"/>
    <w:rsid w:val="001F4522"/>
    <w:rsid w:val="001F69E5"/>
    <w:rsid w:val="00201670"/>
    <w:rsid w:val="00223741"/>
    <w:rsid w:val="00257183"/>
    <w:rsid w:val="0026301C"/>
    <w:rsid w:val="00270501"/>
    <w:rsid w:val="00274ED4"/>
    <w:rsid w:val="002B4EEE"/>
    <w:rsid w:val="00305613"/>
    <w:rsid w:val="003751E9"/>
    <w:rsid w:val="00390009"/>
    <w:rsid w:val="003A4DD6"/>
    <w:rsid w:val="003C06D9"/>
    <w:rsid w:val="003E196A"/>
    <w:rsid w:val="003E2190"/>
    <w:rsid w:val="003F0AB2"/>
    <w:rsid w:val="00407D99"/>
    <w:rsid w:val="0047706F"/>
    <w:rsid w:val="00494688"/>
    <w:rsid w:val="0049615F"/>
    <w:rsid w:val="004C3634"/>
    <w:rsid w:val="004C7FB9"/>
    <w:rsid w:val="004D224A"/>
    <w:rsid w:val="004E4601"/>
    <w:rsid w:val="004F3DDF"/>
    <w:rsid w:val="00521D08"/>
    <w:rsid w:val="0052388B"/>
    <w:rsid w:val="00523FD7"/>
    <w:rsid w:val="005659F5"/>
    <w:rsid w:val="00581A57"/>
    <w:rsid w:val="00583A4A"/>
    <w:rsid w:val="0058734D"/>
    <w:rsid w:val="00595868"/>
    <w:rsid w:val="005A7138"/>
    <w:rsid w:val="005B6F8D"/>
    <w:rsid w:val="005C0CB9"/>
    <w:rsid w:val="005C19E0"/>
    <w:rsid w:val="005E693A"/>
    <w:rsid w:val="005F402A"/>
    <w:rsid w:val="005F6B38"/>
    <w:rsid w:val="00604650"/>
    <w:rsid w:val="0063759B"/>
    <w:rsid w:val="0064600B"/>
    <w:rsid w:val="0067715E"/>
    <w:rsid w:val="00692B66"/>
    <w:rsid w:val="006B37F8"/>
    <w:rsid w:val="006B57F1"/>
    <w:rsid w:val="006E10D9"/>
    <w:rsid w:val="006F180C"/>
    <w:rsid w:val="006F31A9"/>
    <w:rsid w:val="0074677F"/>
    <w:rsid w:val="007B7B57"/>
    <w:rsid w:val="007E16CE"/>
    <w:rsid w:val="007F2C6E"/>
    <w:rsid w:val="008412E0"/>
    <w:rsid w:val="00872C07"/>
    <w:rsid w:val="00877C26"/>
    <w:rsid w:val="00881F4C"/>
    <w:rsid w:val="008974AF"/>
    <w:rsid w:val="008B0317"/>
    <w:rsid w:val="008B5240"/>
    <w:rsid w:val="008E39A3"/>
    <w:rsid w:val="008F16AD"/>
    <w:rsid w:val="009307D5"/>
    <w:rsid w:val="00937A5A"/>
    <w:rsid w:val="00956858"/>
    <w:rsid w:val="00960D5F"/>
    <w:rsid w:val="00967965"/>
    <w:rsid w:val="00974F2B"/>
    <w:rsid w:val="00975BBF"/>
    <w:rsid w:val="0098021E"/>
    <w:rsid w:val="009A0624"/>
    <w:rsid w:val="009B6228"/>
    <w:rsid w:val="009C103A"/>
    <w:rsid w:val="00A018B7"/>
    <w:rsid w:val="00A07BC7"/>
    <w:rsid w:val="00A15D16"/>
    <w:rsid w:val="00A16789"/>
    <w:rsid w:val="00A5768D"/>
    <w:rsid w:val="00A613AE"/>
    <w:rsid w:val="00AA3706"/>
    <w:rsid w:val="00AA51F3"/>
    <w:rsid w:val="00AB7875"/>
    <w:rsid w:val="00AF619B"/>
    <w:rsid w:val="00B3436A"/>
    <w:rsid w:val="00B367FB"/>
    <w:rsid w:val="00BC4A6D"/>
    <w:rsid w:val="00C22F38"/>
    <w:rsid w:val="00C60B9C"/>
    <w:rsid w:val="00C93D42"/>
    <w:rsid w:val="00CB2123"/>
    <w:rsid w:val="00CE789F"/>
    <w:rsid w:val="00CF24C9"/>
    <w:rsid w:val="00D23046"/>
    <w:rsid w:val="00D25D71"/>
    <w:rsid w:val="00D33A4A"/>
    <w:rsid w:val="00D764FF"/>
    <w:rsid w:val="00D83C57"/>
    <w:rsid w:val="00D93A69"/>
    <w:rsid w:val="00DD0B73"/>
    <w:rsid w:val="00DD5C68"/>
    <w:rsid w:val="00DE15E0"/>
    <w:rsid w:val="00E1407E"/>
    <w:rsid w:val="00E223D0"/>
    <w:rsid w:val="00E26E2D"/>
    <w:rsid w:val="00E41C3F"/>
    <w:rsid w:val="00E4562D"/>
    <w:rsid w:val="00E76D18"/>
    <w:rsid w:val="00E834C0"/>
    <w:rsid w:val="00E86CD7"/>
    <w:rsid w:val="00EA3CE7"/>
    <w:rsid w:val="00F14CAD"/>
    <w:rsid w:val="00F2472B"/>
    <w:rsid w:val="00F47AF4"/>
    <w:rsid w:val="00F61D14"/>
    <w:rsid w:val="00F65ECC"/>
    <w:rsid w:val="00F76707"/>
    <w:rsid w:val="00F835DD"/>
    <w:rsid w:val="00FB54D6"/>
    <w:rsid w:val="00FC0B60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229367-F938-4016-AB19-A183522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0541AD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semiHidden/>
    <w:rsid w:val="00167CAF"/>
    <w:rPr>
      <w:rFonts w:ascii="Times New Roman" w:eastAsia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67CAF"/>
    <w:rPr>
      <w:rFonts w:ascii="Times New Roman" w:eastAsia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2113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Herman Szilvia</cp:lastModifiedBy>
  <cp:revision>3</cp:revision>
  <cp:lastPrinted>2012-01-06T15:03:00Z</cp:lastPrinted>
  <dcterms:created xsi:type="dcterms:W3CDTF">2018-01-19T12:22:00Z</dcterms:created>
  <dcterms:modified xsi:type="dcterms:W3CDTF">2018-01-31T14:26:00Z</dcterms:modified>
</cp:coreProperties>
</file>