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D8" w:rsidRPr="00C44FD7" w:rsidRDefault="00CB2957" w:rsidP="00FC580D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A 2019/2020. tanévben </w:t>
      </w:r>
      <w:r w:rsidR="006632D8">
        <w:rPr>
          <w:rFonts w:ascii="Garamond" w:hAnsi="Garamond"/>
          <w:b/>
          <w:szCs w:val="24"/>
        </w:rPr>
        <w:t>érvényes térítési és szolgáltatási díjak az E</w:t>
      </w:r>
      <w:r>
        <w:rPr>
          <w:rFonts w:ascii="Garamond" w:hAnsi="Garamond"/>
          <w:b/>
          <w:szCs w:val="24"/>
        </w:rPr>
        <w:t xml:space="preserve">LTE Állam- és Jogtudományi Karán </w:t>
      </w:r>
      <w:r w:rsidR="00D44005">
        <w:rPr>
          <w:rFonts w:ascii="Garamond" w:hAnsi="Garamond"/>
          <w:b/>
          <w:szCs w:val="24"/>
        </w:rPr>
        <w:t xml:space="preserve">a Szenátus </w:t>
      </w:r>
      <w:r w:rsidR="00D44005" w:rsidRPr="00D44005">
        <w:rPr>
          <w:rFonts w:ascii="Garamond" w:hAnsi="Garamond"/>
          <w:b/>
          <w:szCs w:val="24"/>
        </w:rPr>
        <w:t xml:space="preserve">CLXXIII/2019. (VI. 24.) </w:t>
      </w:r>
      <w:r w:rsidR="00D44005">
        <w:rPr>
          <w:rFonts w:ascii="Garamond" w:hAnsi="Garamond"/>
          <w:b/>
          <w:szCs w:val="24"/>
        </w:rPr>
        <w:t xml:space="preserve">sz. és a Kari tanács </w:t>
      </w:r>
      <w:r w:rsidR="00D44005" w:rsidRPr="00D44005">
        <w:rPr>
          <w:rFonts w:ascii="Garamond" w:hAnsi="Garamond"/>
          <w:b/>
          <w:szCs w:val="24"/>
        </w:rPr>
        <w:t xml:space="preserve">15/2019. (V.21.) </w:t>
      </w:r>
      <w:r w:rsidR="00D44005">
        <w:rPr>
          <w:rFonts w:ascii="Garamond" w:hAnsi="Garamond"/>
          <w:b/>
          <w:szCs w:val="24"/>
        </w:rPr>
        <w:t xml:space="preserve">sz. </w:t>
      </w:r>
      <w:r w:rsidR="00D44005" w:rsidRPr="00D44005">
        <w:rPr>
          <w:rFonts w:ascii="Garamond" w:hAnsi="Garamond"/>
          <w:b/>
          <w:szCs w:val="24"/>
        </w:rPr>
        <w:t>határozat</w:t>
      </w:r>
      <w:r w:rsidR="00D44005">
        <w:rPr>
          <w:rFonts w:ascii="Garamond" w:hAnsi="Garamond"/>
          <w:b/>
          <w:szCs w:val="24"/>
        </w:rPr>
        <w:t>a alapján</w:t>
      </w:r>
      <w:bookmarkStart w:id="0" w:name="_GoBack"/>
      <w:bookmarkEnd w:id="0"/>
    </w:p>
    <w:p w:rsidR="006632D8" w:rsidRDefault="006632D8" w:rsidP="006632D8">
      <w:pPr>
        <w:jc w:val="both"/>
        <w:rPr>
          <w:rFonts w:ascii="Garamond" w:hAnsi="Garamond"/>
          <w:i/>
          <w:szCs w:val="24"/>
        </w:rPr>
      </w:pPr>
    </w:p>
    <w:tbl>
      <w:tblPr>
        <w:tblW w:w="9813" w:type="dxa"/>
        <w:tblInd w:w="-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354"/>
        <w:gridCol w:w="2886"/>
      </w:tblGrid>
      <w:tr w:rsidR="006632D8" w:rsidRPr="00D76F6F" w:rsidTr="00C837A6">
        <w:trPr>
          <w:trHeight w:val="282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632D8" w:rsidRPr="00D76F6F" w:rsidRDefault="006632D8" w:rsidP="00C837A6">
            <w:pPr>
              <w:jc w:val="both"/>
              <w:rPr>
                <w:rFonts w:ascii="Garamond" w:eastAsia="Times New Roman" w:hAnsi="Garamond" w:cs="Calibri"/>
                <w:b/>
                <w:bCs/>
                <w:szCs w:val="24"/>
                <w:lang w:eastAsia="hu-HU"/>
              </w:rPr>
            </w:pPr>
          </w:p>
        </w:tc>
        <w:tc>
          <w:tcPr>
            <w:tcW w:w="6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6632D8" w:rsidRPr="00D76F6F" w:rsidRDefault="006632D8" w:rsidP="00C837A6">
            <w:pPr>
              <w:jc w:val="both"/>
              <w:rPr>
                <w:rFonts w:ascii="Garamond" w:eastAsia="Times New Roman" w:hAnsi="Garamond" w:cs="Calibri"/>
                <w:b/>
                <w:bCs/>
                <w:szCs w:val="24"/>
                <w:lang w:eastAsia="hu-HU"/>
              </w:rPr>
            </w:pPr>
            <w:r w:rsidRPr="00D76F6F">
              <w:rPr>
                <w:rFonts w:ascii="Garamond" w:eastAsia="Times New Roman" w:hAnsi="Garamond" w:cs="Calibri"/>
                <w:b/>
                <w:bCs/>
                <w:szCs w:val="24"/>
                <w:lang w:eastAsia="hu-HU"/>
              </w:rPr>
              <w:t>Jogcím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6632D8" w:rsidRPr="00D76F6F" w:rsidRDefault="006632D8" w:rsidP="00C837A6">
            <w:pPr>
              <w:jc w:val="both"/>
              <w:rPr>
                <w:rFonts w:ascii="Garamond" w:eastAsia="Times New Roman" w:hAnsi="Garamond" w:cs="Calibri"/>
                <w:b/>
                <w:bCs/>
                <w:szCs w:val="24"/>
                <w:lang w:eastAsia="hu-HU"/>
              </w:rPr>
            </w:pPr>
            <w:r w:rsidRPr="00D76F6F">
              <w:rPr>
                <w:rFonts w:ascii="Garamond" w:eastAsia="Times New Roman" w:hAnsi="Garamond" w:cs="Calibri"/>
                <w:b/>
                <w:bCs/>
                <w:szCs w:val="24"/>
                <w:lang w:eastAsia="hu-HU"/>
              </w:rPr>
              <w:t>Összeg (Ft)</w:t>
            </w:r>
          </w:p>
        </w:tc>
      </w:tr>
      <w:tr w:rsidR="006632D8" w:rsidRPr="00C44FD7" w:rsidTr="00C837A6">
        <w:trPr>
          <w:trHeight w:val="40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Adminisztratív határidő elmulasztása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3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500</w:t>
            </w:r>
          </w:p>
        </w:tc>
      </w:tr>
      <w:tr w:rsidR="006632D8" w:rsidRPr="00C44FD7" w:rsidTr="00C837A6">
        <w:trPr>
          <w:trHeight w:val="558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 xml:space="preserve">Tanulmányi igazolások kiállításának díja Neptunból (figyelembe </w:t>
            </w: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véve a 87/2015. (IV. 9.) Korm. r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endelet 14. fejezetébe</w:t>
            </w: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n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 xml:space="preserve"> foglalt kivételeket)*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000/példány</w:t>
            </w:r>
          </w:p>
        </w:tc>
      </w:tr>
      <w:tr w:rsidR="006632D8" w:rsidRPr="00C44FD7" w:rsidTr="00C837A6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 xml:space="preserve">Tanulmányi igazolások kiállításának díja nem Neptunból (figyelembe </w:t>
            </w: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véve a 87/2015. (IV. 9.) Korm. r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endelet 14. fejezetébe</w:t>
            </w: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n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 xml:space="preserve"> foglalt kivételeket)*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2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000/oldal, max. 10 000*</w:t>
            </w:r>
          </w:p>
        </w:tc>
      </w:tr>
      <w:tr w:rsidR="006632D8" w:rsidRPr="00C44FD7" w:rsidTr="00C837A6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Oklevél másodlat, oklevélmelléklet másodlat, programbizonyítvány másodlat készítése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10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 (+2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 illeték)</w:t>
            </w:r>
          </w:p>
        </w:tc>
      </w:tr>
      <w:tr w:rsidR="006632D8" w:rsidRPr="00C44FD7" w:rsidTr="00C837A6">
        <w:trPr>
          <w:trHeight w:val="41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Fizetési kötelezettség teljesítésére előírt határidő elmulasztása (késedelmi díj)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3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500/tétel</w:t>
            </w:r>
          </w:p>
        </w:tc>
      </w:tr>
      <w:tr w:rsidR="006632D8" w:rsidRPr="00C44FD7" w:rsidTr="00C837A6">
        <w:trPr>
          <w:trHeight w:val="46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Átvételi kérelem benyújtása (más felsőoktatási intézményből átvételt kérők)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8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</w:t>
            </w:r>
          </w:p>
        </w:tc>
      </w:tr>
      <w:tr w:rsidR="006632D8" w:rsidRPr="00C44FD7" w:rsidTr="00C837A6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Tárgyfelvétel a tárgyfelvételi időszak végét követően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3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000/tárgy</w:t>
            </w:r>
          </w:p>
        </w:tc>
      </w:tr>
      <w:tr w:rsidR="006632D8" w:rsidRPr="00C44FD7" w:rsidTr="00C837A6">
        <w:trPr>
          <w:trHeight w:val="388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u w:val="single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 xml:space="preserve">2. utóvizsga (azonos kurzusból azonos vizsgaidőszakban tett harmadik vizsga) 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3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500</w:t>
            </w:r>
          </w:p>
        </w:tc>
      </w:tr>
      <w:tr w:rsidR="006632D8" w:rsidRPr="00C44FD7" w:rsidTr="00C837A6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u w:val="single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Vizsgáról való, igazolás nélküli távolmaradás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3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500</w:t>
            </w:r>
          </w:p>
        </w:tc>
      </w:tr>
      <w:tr w:rsidR="006632D8" w:rsidRPr="00C44FD7" w:rsidTr="00C837A6">
        <w:trPr>
          <w:trHeight w:val="699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u w:val="single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10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Elégtelenre értékelt vagy plágium miatt elutasított szakdolgozat/diplomamunka /portfólió esetén új szakdolgozat/diplomamunka /portfólió beadása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10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000</w:t>
            </w:r>
          </w:p>
        </w:tc>
      </w:tr>
      <w:tr w:rsidR="006632D8" w:rsidRPr="00C44FD7" w:rsidTr="00C837A6">
        <w:trPr>
          <w:trHeight w:val="94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u w:val="single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Megismételt záróvizsga díja sikertelen záróvizsga, a záróvizsgán való meg nem jelenés (kivéve, ha az abszolutóriumot a záróvizsgáig nem szerezte meg a hallgató), vagy megadott határidőig való le nem jelentkezés esetén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2D8" w:rsidRPr="00C44FD7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10</w:t>
            </w:r>
            <w:r w:rsidRPr="00C44FD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 </w:t>
            </w:r>
            <w:r w:rsidRPr="00C44FD7">
              <w:rPr>
                <w:rFonts w:ascii="Garamond" w:eastAsia="Times New Roman" w:hAnsi="Garamond" w:cs="Calibri"/>
                <w:szCs w:val="24"/>
                <w:lang w:eastAsia="hu-HU"/>
              </w:rPr>
              <w:t>000</w:t>
            </w:r>
          </w:p>
        </w:tc>
      </w:tr>
      <w:tr w:rsidR="006632D8" w:rsidRPr="00C44FD7" w:rsidTr="00C837A6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u w:val="single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Pr="006F5FB2" w:rsidRDefault="006632D8" w:rsidP="006632D8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6F5FB2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Kurzus 2. alkalommal történő felvétele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32D8" w:rsidRPr="006F5FB2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6F5FB2">
              <w:rPr>
                <w:rFonts w:ascii="Garamond" w:eastAsia="Times New Roman" w:hAnsi="Garamond" w:cs="Calibri"/>
                <w:szCs w:val="24"/>
                <w:lang w:eastAsia="hu-HU"/>
              </w:rPr>
              <w:t>3 000/kurzus</w:t>
            </w:r>
          </w:p>
        </w:tc>
      </w:tr>
      <w:tr w:rsidR="006632D8" w:rsidRPr="00C44FD7" w:rsidTr="00C837A6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13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D8" w:rsidRPr="006F5FB2" w:rsidRDefault="006632D8" w:rsidP="006632D8">
            <w:pPr>
              <w:jc w:val="both"/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</w:pPr>
            <w:r w:rsidRPr="006F5FB2">
              <w:rPr>
                <w:rFonts w:ascii="Garamond" w:eastAsia="Times New Roman" w:hAnsi="Garamond" w:cs="Calibri"/>
                <w:color w:val="000000"/>
                <w:szCs w:val="24"/>
                <w:lang w:eastAsia="hu-HU"/>
              </w:rPr>
              <w:t>Kurzus 3. és további alkalommal történő felvétele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32D8" w:rsidRPr="006F5FB2" w:rsidRDefault="006632D8" w:rsidP="00C837A6">
            <w:pPr>
              <w:jc w:val="both"/>
              <w:rPr>
                <w:rFonts w:ascii="Garamond" w:eastAsia="Times New Roman" w:hAnsi="Garamond" w:cs="Calibri"/>
                <w:szCs w:val="24"/>
                <w:lang w:eastAsia="hu-HU"/>
              </w:rPr>
            </w:pPr>
            <w:r w:rsidRPr="006F5FB2">
              <w:rPr>
                <w:rFonts w:ascii="Garamond" w:eastAsia="Times New Roman" w:hAnsi="Garamond" w:cs="Calibri"/>
                <w:szCs w:val="24"/>
                <w:lang w:eastAsia="hu-HU"/>
              </w:rPr>
              <w:t>7 000/kurzus</w:t>
            </w:r>
          </w:p>
        </w:tc>
      </w:tr>
      <w:tr w:rsidR="006632D8" w:rsidRPr="00C44FD7" w:rsidTr="00C837A6">
        <w:trPr>
          <w:trHeight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Pr="006F5FB2" w:rsidRDefault="006632D8" w:rsidP="00C837A6">
            <w:pPr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 w:rsidRPr="00F445DD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Szükségtelen kurzusfelvétel díja</w:t>
            </w:r>
            <w:r w:rsidR="00656EB9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 xml:space="preserve"> </w:t>
            </w:r>
            <w:r w:rsidR="00656EB9" w:rsidRPr="00656EB9">
              <w:rPr>
                <w:rFonts w:ascii="Garamond" w:eastAsia="Times New Roman" w:hAnsi="Garamond" w:cs="Calibri"/>
                <w:bCs/>
                <w:i/>
                <w:color w:val="000000"/>
                <w:szCs w:val="24"/>
                <w:lang w:eastAsia="hu-HU"/>
              </w:rPr>
              <w:t>[HKR 61. § (3a)]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3 000/tárgy</w:t>
            </w:r>
          </w:p>
        </w:tc>
      </w:tr>
      <w:tr w:rsidR="006632D8" w:rsidRPr="00C44FD7" w:rsidTr="00C837A6">
        <w:trPr>
          <w:trHeight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Pr="00F445DD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Kredittúllépési díj</w:t>
            </w:r>
            <w:r w:rsidR="00BC1543" w:rsidRPr="00BC1543">
              <w:rPr>
                <w:rFonts w:ascii="Garamond" w:eastAsia="Times New Roman" w:hAnsi="Garamond" w:cs="Calibri"/>
                <w:bCs/>
                <w:color w:val="000000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2D8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1 000/kredit</w:t>
            </w:r>
          </w:p>
        </w:tc>
      </w:tr>
      <w:tr w:rsidR="006632D8" w:rsidRPr="00C44FD7" w:rsidTr="00C837A6">
        <w:trPr>
          <w:trHeight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Default="006632D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D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Vendéghallgatói díj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2D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11 900/tárgy</w:t>
            </w:r>
          </w:p>
        </w:tc>
      </w:tr>
      <w:tr w:rsidR="00CC6168" w:rsidRPr="00C44FD7" w:rsidTr="00C837A6">
        <w:trPr>
          <w:trHeight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6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17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6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Oklevél h</w:t>
            </w:r>
            <w:r w:rsidR="00BC1543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onosítás</w:t>
            </w: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 xml:space="preserve"> díja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168" w:rsidRDefault="00CC6168" w:rsidP="00FF281F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100 </w:t>
            </w:r>
            <w:r w:rsidR="00CB295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000</w:t>
            </w:r>
          </w:p>
        </w:tc>
      </w:tr>
      <w:tr w:rsidR="00CC6168" w:rsidRPr="00C44FD7" w:rsidTr="00C837A6">
        <w:trPr>
          <w:trHeight w:val="6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6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18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68" w:rsidRDefault="00CC6168" w:rsidP="00C837A6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Jogász díszoklevél díja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168" w:rsidRDefault="00CC6168" w:rsidP="00CC6168">
            <w:pPr>
              <w:jc w:val="both"/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20 </w:t>
            </w:r>
            <w:r w:rsidR="00CB2957">
              <w:rPr>
                <w:rFonts w:ascii="Garamond" w:eastAsia="Times New Roman" w:hAnsi="Garamond" w:cs="Calibri"/>
                <w:bCs/>
                <w:color w:val="000000"/>
                <w:szCs w:val="24"/>
                <w:lang w:eastAsia="hu-HU"/>
              </w:rPr>
              <w:t>000</w:t>
            </w:r>
          </w:p>
        </w:tc>
      </w:tr>
    </w:tbl>
    <w:p w:rsidR="00BC1543" w:rsidRPr="00BC1543" w:rsidRDefault="00BC1543" w:rsidP="00BC1543">
      <w:pPr>
        <w:rPr>
          <w:sz w:val="20"/>
          <w:szCs w:val="20"/>
        </w:rPr>
      </w:pPr>
      <w:r w:rsidRPr="00BC1543">
        <w:rPr>
          <w:sz w:val="20"/>
          <w:szCs w:val="20"/>
        </w:rPr>
        <w:t>*</w:t>
      </w:r>
      <w:r>
        <w:t xml:space="preserve"> </w:t>
      </w:r>
      <w:r w:rsidRPr="00BC1543">
        <w:rPr>
          <w:sz w:val="20"/>
          <w:szCs w:val="20"/>
        </w:rPr>
        <w:t>A képzési és kimeneti követelményekben meghatározott kreditszámot 10%-kal meghaladó kreditfelvételek körébe nem tartoznak bele azon kurzusfelvételek, amelyekért a hallgató azonnal fizet</w:t>
      </w:r>
      <w:r>
        <w:rPr>
          <w:sz w:val="20"/>
          <w:szCs w:val="20"/>
        </w:rPr>
        <w:t xml:space="preserve"> (kurzus 2. és további alkalommal történő felvétele).</w:t>
      </w:r>
    </w:p>
    <w:p w:rsidR="00BC1543" w:rsidRPr="00BC1543" w:rsidRDefault="00BC1543" w:rsidP="00BC1543">
      <w:pPr>
        <w:rPr>
          <w:sz w:val="20"/>
          <w:szCs w:val="20"/>
        </w:rPr>
      </w:pPr>
      <w:r w:rsidRPr="00BC1543">
        <w:rPr>
          <w:b/>
          <w:sz w:val="20"/>
          <w:szCs w:val="20"/>
        </w:rPr>
        <w:t xml:space="preserve">HKR </w:t>
      </w:r>
      <w:r w:rsidRPr="00FF281F">
        <w:rPr>
          <w:sz w:val="20"/>
          <w:szCs w:val="20"/>
        </w:rPr>
        <w:t>130. §</w:t>
      </w:r>
      <w:r>
        <w:rPr>
          <w:b/>
          <w:sz w:val="20"/>
          <w:szCs w:val="20"/>
        </w:rPr>
        <w:t xml:space="preserve"> </w:t>
      </w:r>
      <w:r w:rsidRPr="00BC1543">
        <w:rPr>
          <w:sz w:val="20"/>
          <w:szCs w:val="20"/>
        </w:rPr>
        <w:t>(5) A 100%-os keret terhére számolandó</w:t>
      </w:r>
    </w:p>
    <w:p w:rsidR="00BC1543" w:rsidRPr="00BC1543" w:rsidRDefault="00BC1543" w:rsidP="00BC1543">
      <w:pPr>
        <w:rPr>
          <w:sz w:val="20"/>
          <w:szCs w:val="20"/>
        </w:rPr>
      </w:pPr>
      <w:r w:rsidRPr="00BC1543">
        <w:rPr>
          <w:sz w:val="20"/>
          <w:szCs w:val="20"/>
        </w:rPr>
        <w:t>a) a mintatantervben szereplő kurzusok első felvétele, illetve</w:t>
      </w:r>
    </w:p>
    <w:p w:rsidR="00BC1543" w:rsidRPr="00BC1543" w:rsidRDefault="00BC1543" w:rsidP="00BC1543">
      <w:pPr>
        <w:rPr>
          <w:sz w:val="20"/>
          <w:szCs w:val="20"/>
        </w:rPr>
      </w:pPr>
      <w:r w:rsidRPr="00BC1543">
        <w:rPr>
          <w:sz w:val="20"/>
          <w:szCs w:val="20"/>
        </w:rPr>
        <w:t>b) az oklevélszerzéshez előírt kreditértékig a sza</w:t>
      </w:r>
      <w:r>
        <w:rPr>
          <w:sz w:val="20"/>
          <w:szCs w:val="20"/>
        </w:rPr>
        <w:t xml:space="preserve">badon választható kurzusok első </w:t>
      </w:r>
      <w:r w:rsidRPr="00BC1543">
        <w:rPr>
          <w:sz w:val="20"/>
          <w:szCs w:val="20"/>
        </w:rPr>
        <w:t>alkalommal történő felvétele.</w:t>
      </w:r>
    </w:p>
    <w:p w:rsidR="00BC1543" w:rsidRPr="00BC1543" w:rsidRDefault="00BC1543" w:rsidP="00BC1543">
      <w:pPr>
        <w:rPr>
          <w:sz w:val="20"/>
          <w:szCs w:val="20"/>
        </w:rPr>
      </w:pPr>
      <w:r w:rsidRPr="00BC1543">
        <w:rPr>
          <w:sz w:val="20"/>
          <w:szCs w:val="20"/>
        </w:rPr>
        <w:t>(6) A 10%-os keret terhére számolandó minden további kurzusfelvétel, amiért a</w:t>
      </w:r>
      <w:r w:rsidR="002241A7">
        <w:rPr>
          <w:sz w:val="20"/>
          <w:szCs w:val="20"/>
        </w:rPr>
        <w:t xml:space="preserve"> </w:t>
      </w:r>
      <w:r w:rsidRPr="00BC1543">
        <w:rPr>
          <w:sz w:val="20"/>
          <w:szCs w:val="20"/>
        </w:rPr>
        <w:t>hallgató nem fizet azonnal.</w:t>
      </w:r>
    </w:p>
    <w:sectPr w:rsidR="00BC1543" w:rsidRPr="00BC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69" w:rsidRDefault="00375869" w:rsidP="006632D8">
      <w:r>
        <w:separator/>
      </w:r>
    </w:p>
  </w:endnote>
  <w:endnote w:type="continuationSeparator" w:id="0">
    <w:p w:rsidR="00375869" w:rsidRDefault="00375869" w:rsidP="0066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69" w:rsidRDefault="00375869" w:rsidP="006632D8">
      <w:r>
        <w:separator/>
      </w:r>
    </w:p>
  </w:footnote>
  <w:footnote w:type="continuationSeparator" w:id="0">
    <w:p w:rsidR="00375869" w:rsidRDefault="00375869" w:rsidP="0066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D8"/>
    <w:rsid w:val="002241A7"/>
    <w:rsid w:val="00375869"/>
    <w:rsid w:val="004F7D64"/>
    <w:rsid w:val="00656EB9"/>
    <w:rsid w:val="006632D8"/>
    <w:rsid w:val="007D3C25"/>
    <w:rsid w:val="00BC1543"/>
    <w:rsid w:val="00CB2957"/>
    <w:rsid w:val="00CC6168"/>
    <w:rsid w:val="00D353A8"/>
    <w:rsid w:val="00D44005"/>
    <w:rsid w:val="00F838EB"/>
    <w:rsid w:val="00FC580D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9ACB-6BE0-4F2B-9DB5-384AC9B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32D8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632D8"/>
    <w:pPr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32D8"/>
    <w:rPr>
      <w:rFonts w:ascii="Garamond" w:hAnsi="Garamond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632D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C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10</cp:revision>
  <dcterms:created xsi:type="dcterms:W3CDTF">2019-07-02T07:56:00Z</dcterms:created>
  <dcterms:modified xsi:type="dcterms:W3CDTF">2019-07-24T13:35:00Z</dcterms:modified>
</cp:coreProperties>
</file>