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44" w:rsidRPr="00203C29" w:rsidRDefault="008F318C" w:rsidP="00203C29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</w:pPr>
      <w:r w:rsidRPr="00203C29"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  <w:t xml:space="preserve">The </w:t>
      </w:r>
      <w:proofErr w:type="spellStart"/>
      <w:r w:rsidRPr="00203C29"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  <w:t>Hungarian</w:t>
      </w:r>
      <w:proofErr w:type="spellEnd"/>
      <w:r w:rsidRPr="00203C29"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  <w:t xml:space="preserve"> Tort Law </w:t>
      </w:r>
      <w:proofErr w:type="spellStart"/>
      <w:r w:rsidRPr="00203C29"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  <w:t>in</w:t>
      </w:r>
      <w:proofErr w:type="spellEnd"/>
      <w:r w:rsidRPr="00203C29"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  <w:t xml:space="preserve"> a </w:t>
      </w:r>
      <w:proofErr w:type="spellStart"/>
      <w:r w:rsidRPr="00203C29"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  <w:t>Comparative</w:t>
      </w:r>
      <w:proofErr w:type="spellEnd"/>
      <w:r w:rsidRPr="00203C29"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  <w:t xml:space="preserve"> </w:t>
      </w:r>
      <w:proofErr w:type="spellStart"/>
      <w:r w:rsidRPr="00203C29"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  <w:t>Perspective</w:t>
      </w:r>
      <w:proofErr w:type="spellEnd"/>
    </w:p>
    <w:p w:rsidR="002C5C44" w:rsidRDefault="002C5C44" w:rsidP="002C5C44">
      <w:pPr>
        <w:autoSpaceDE w:val="0"/>
        <w:autoSpaceDN w:val="0"/>
        <w:adjustRightInd w:val="0"/>
        <w:rPr>
          <w:rFonts w:ascii="Garamond" w:eastAsia="MS Mincho" w:hAnsi="Garamond" w:cs="Garamond"/>
          <w:color w:val="000000"/>
          <w:lang w:val="hu-HU"/>
        </w:rPr>
      </w:pPr>
    </w:p>
    <w:p w:rsidR="002C5C44" w:rsidRPr="008F318C" w:rsidRDefault="002C5C44" w:rsidP="002C5C44">
      <w:pPr>
        <w:autoSpaceDE w:val="0"/>
        <w:autoSpaceDN w:val="0"/>
        <w:adjustRightInd w:val="0"/>
        <w:rPr>
          <w:rFonts w:eastAsia="MS Mincho"/>
          <w:color w:val="000000"/>
          <w:lang w:val="hu-HU"/>
        </w:rPr>
      </w:pPr>
      <w:proofErr w:type="spellStart"/>
      <w:r w:rsidRPr="008F318C">
        <w:rPr>
          <w:rFonts w:eastAsia="MS Mincho"/>
          <w:color w:val="000000"/>
          <w:lang w:val="hu-HU"/>
        </w:rPr>
        <w:t>Lecturer</w:t>
      </w:r>
      <w:proofErr w:type="spellEnd"/>
      <w:r w:rsidRPr="008F318C">
        <w:rPr>
          <w:rFonts w:eastAsia="MS Mincho"/>
          <w:color w:val="000000"/>
          <w:lang w:val="hu-HU"/>
        </w:rPr>
        <w:t xml:space="preserve">: </w:t>
      </w:r>
      <w:r w:rsidRPr="008F318C">
        <w:rPr>
          <w:rFonts w:eastAsia="MS Mincho"/>
          <w:b/>
          <w:bCs/>
          <w:color w:val="000000"/>
          <w:lang w:val="hu-HU"/>
        </w:rPr>
        <w:t xml:space="preserve">Prof. Attila MENYHÁRD </w:t>
      </w:r>
    </w:p>
    <w:p w:rsidR="002C5C44" w:rsidRPr="008F318C" w:rsidRDefault="002C5C44" w:rsidP="002C5C44">
      <w:pPr>
        <w:autoSpaceDE w:val="0"/>
        <w:autoSpaceDN w:val="0"/>
        <w:adjustRightInd w:val="0"/>
        <w:ind w:firstLine="720"/>
        <w:rPr>
          <w:rFonts w:eastAsia="MS Mincho"/>
          <w:b/>
          <w:bCs/>
          <w:color w:val="000000"/>
          <w:lang w:val="hu-HU"/>
        </w:rPr>
      </w:pPr>
      <w:r w:rsidRPr="008F318C">
        <w:rPr>
          <w:rFonts w:eastAsia="MS Mincho"/>
          <w:b/>
          <w:bCs/>
          <w:color w:val="000000"/>
          <w:lang w:val="hu-HU"/>
        </w:rPr>
        <w:t xml:space="preserve">   Dean/</w:t>
      </w:r>
      <w:proofErr w:type="spellStart"/>
      <w:r w:rsidRPr="008F318C">
        <w:rPr>
          <w:rFonts w:eastAsia="MS Mincho"/>
          <w:b/>
          <w:bCs/>
          <w:color w:val="000000"/>
          <w:lang w:val="hu-HU"/>
        </w:rPr>
        <w:t>Chair</w:t>
      </w:r>
      <w:proofErr w:type="spellEnd"/>
      <w:r w:rsidRPr="008F318C">
        <w:rPr>
          <w:rFonts w:eastAsia="MS Mincho"/>
          <w:b/>
          <w:bCs/>
          <w:color w:val="000000"/>
          <w:lang w:val="hu-HU"/>
        </w:rPr>
        <w:t xml:space="preserve"> Professor </w:t>
      </w:r>
      <w:r w:rsidR="00203C29">
        <w:rPr>
          <w:rFonts w:eastAsia="MS Mincho"/>
          <w:b/>
          <w:bCs/>
          <w:color w:val="000000"/>
          <w:lang w:val="hu-HU"/>
        </w:rPr>
        <w:t>/</w:t>
      </w:r>
      <w:r w:rsidR="00053A5D">
        <w:rPr>
          <w:rFonts w:eastAsia="MS Mincho"/>
          <w:b/>
          <w:bCs/>
          <w:color w:val="000000"/>
          <w:lang w:val="hu-HU"/>
        </w:rPr>
        <w:t xml:space="preserve"> </w:t>
      </w:r>
      <w:bookmarkStart w:id="0" w:name="_GoBack"/>
      <w:bookmarkEnd w:id="0"/>
      <w:r w:rsidRPr="008F318C">
        <w:rPr>
          <w:rFonts w:eastAsia="MS Mincho"/>
          <w:b/>
          <w:bCs/>
          <w:color w:val="000000"/>
          <w:lang w:val="hu-HU"/>
        </w:rPr>
        <w:t xml:space="preserve">Department of Civil Law </w:t>
      </w:r>
    </w:p>
    <w:p w:rsidR="002C5C44" w:rsidRPr="008F318C" w:rsidRDefault="002C5C44" w:rsidP="002C5C44">
      <w:pPr>
        <w:autoSpaceDE w:val="0"/>
        <w:autoSpaceDN w:val="0"/>
        <w:adjustRightInd w:val="0"/>
        <w:rPr>
          <w:rFonts w:eastAsia="MS Mincho"/>
          <w:bCs/>
          <w:color w:val="000000"/>
          <w:lang w:val="hu-HU"/>
        </w:rPr>
      </w:pPr>
      <w:r w:rsidRPr="008F318C">
        <w:rPr>
          <w:rFonts w:eastAsia="MS Mincho"/>
          <w:b/>
          <w:bCs/>
          <w:color w:val="000000"/>
          <w:lang w:val="hu-HU"/>
        </w:rPr>
        <w:t xml:space="preserve"> </w:t>
      </w:r>
      <w:proofErr w:type="gramStart"/>
      <w:r w:rsidRPr="008F318C">
        <w:rPr>
          <w:rFonts w:eastAsia="MS Mincho"/>
          <w:bCs/>
          <w:color w:val="000000"/>
          <w:lang w:val="hu-HU"/>
        </w:rPr>
        <w:t>e-mail</w:t>
      </w:r>
      <w:proofErr w:type="gramEnd"/>
      <w:r w:rsidRPr="008F318C">
        <w:rPr>
          <w:rFonts w:eastAsia="MS Mincho"/>
          <w:bCs/>
          <w:color w:val="000000"/>
          <w:lang w:val="hu-HU"/>
        </w:rPr>
        <w:t xml:space="preserve">: </w:t>
      </w:r>
      <w:hyperlink r:id="rId7" w:history="1">
        <w:r w:rsidRPr="008F318C">
          <w:rPr>
            <w:rStyle w:val="Hiperhivatkozs"/>
            <w:rFonts w:eastAsia="MS Mincho"/>
            <w:bCs/>
            <w:lang w:val="hu-HU"/>
          </w:rPr>
          <w:t>menyhard@ajk.elte.hu</w:t>
        </w:r>
      </w:hyperlink>
    </w:p>
    <w:p w:rsidR="00203C29" w:rsidRDefault="00203C29" w:rsidP="002C5C44">
      <w:pPr>
        <w:jc w:val="both"/>
        <w:rPr>
          <w:b/>
        </w:rPr>
      </w:pPr>
    </w:p>
    <w:p w:rsidR="002C5C44" w:rsidRPr="008F318C" w:rsidRDefault="002C5C44" w:rsidP="002C5C44">
      <w:pPr>
        <w:jc w:val="both"/>
      </w:pPr>
      <w:r w:rsidRPr="008F318C">
        <w:rPr>
          <w:b/>
        </w:rPr>
        <w:t>Course description</w:t>
      </w:r>
      <w:r w:rsidRPr="008F318C">
        <w:t xml:space="preserve">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320" w:lineRule="exact"/>
        <w:jc w:val="both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The </w:t>
      </w:r>
      <w:proofErr w:type="spellStart"/>
      <w:r w:rsidRPr="008F318C">
        <w:rPr>
          <w:rFonts w:eastAsia="MS Mincho"/>
          <w:color w:val="000000"/>
          <w:lang w:val="hu-HU"/>
        </w:rPr>
        <w:t>aim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course</w:t>
      </w:r>
      <w:proofErr w:type="spellEnd"/>
      <w:r w:rsidRPr="008F318C">
        <w:rPr>
          <w:rFonts w:eastAsia="MS Mincho"/>
          <w:color w:val="000000"/>
          <w:lang w:val="hu-HU"/>
        </w:rPr>
        <w:t xml:space="preserve"> is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provide</w:t>
      </w:r>
      <w:proofErr w:type="spellEnd"/>
      <w:r w:rsidRPr="008F318C">
        <w:rPr>
          <w:rFonts w:eastAsia="MS Mincho"/>
          <w:color w:val="000000"/>
          <w:lang w:val="hu-HU"/>
        </w:rPr>
        <w:t xml:space="preserve"> an </w:t>
      </w:r>
      <w:proofErr w:type="spellStart"/>
      <w:r w:rsidRPr="008F318C">
        <w:rPr>
          <w:rFonts w:eastAsia="MS Mincho"/>
          <w:color w:val="000000"/>
          <w:lang w:val="hu-HU"/>
        </w:rPr>
        <w:t>introduction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theoretical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foundations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development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Hungarian</w:t>
      </w:r>
      <w:proofErr w:type="spellEnd"/>
      <w:r w:rsidRPr="008F318C">
        <w:rPr>
          <w:rFonts w:eastAsia="MS Mincho"/>
          <w:color w:val="000000"/>
          <w:lang w:val="hu-HU"/>
        </w:rPr>
        <w:t xml:space="preserve">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give</w:t>
      </w:r>
      <w:proofErr w:type="spellEnd"/>
      <w:r w:rsidRPr="008F318C">
        <w:rPr>
          <w:rFonts w:eastAsia="MS Mincho"/>
          <w:color w:val="000000"/>
          <w:lang w:val="hu-HU"/>
        </w:rPr>
        <w:t xml:space="preserve"> an </w:t>
      </w:r>
      <w:proofErr w:type="spellStart"/>
      <w:r w:rsidRPr="008F318C">
        <w:rPr>
          <w:rFonts w:eastAsia="MS Mincho"/>
          <w:color w:val="000000"/>
          <w:lang w:val="hu-HU"/>
        </w:rPr>
        <w:t>analysis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Hungarian</w:t>
      </w:r>
      <w:proofErr w:type="spellEnd"/>
      <w:r w:rsidRPr="008F318C">
        <w:rPr>
          <w:rFonts w:eastAsia="MS Mincho"/>
          <w:color w:val="000000"/>
          <w:lang w:val="hu-HU"/>
        </w:rPr>
        <w:t xml:space="preserve">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regulation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current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legal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practice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  <w:proofErr w:type="spellStart"/>
      <w:r w:rsidRPr="008F318C">
        <w:rPr>
          <w:rFonts w:eastAsia="MS Mincho"/>
          <w:color w:val="000000"/>
          <w:lang w:val="hu-HU"/>
        </w:rPr>
        <w:t>This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analysis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rests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on</w:t>
      </w:r>
      <w:proofErr w:type="spellEnd"/>
      <w:r w:rsidRPr="008F318C">
        <w:rPr>
          <w:rFonts w:eastAsia="MS Mincho"/>
          <w:color w:val="000000"/>
          <w:lang w:val="hu-HU"/>
        </w:rPr>
        <w:t xml:space="preserve"> a </w:t>
      </w:r>
      <w:proofErr w:type="spellStart"/>
      <w:r w:rsidRPr="008F318C">
        <w:rPr>
          <w:rFonts w:eastAsia="MS Mincho"/>
          <w:color w:val="000000"/>
          <w:lang w:val="hu-HU"/>
        </w:rPr>
        <w:t>comparative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method</w:t>
      </w:r>
      <w:proofErr w:type="spellEnd"/>
      <w:r w:rsidRPr="008F318C">
        <w:rPr>
          <w:rFonts w:eastAsia="MS Mincho"/>
          <w:color w:val="000000"/>
          <w:lang w:val="hu-HU"/>
        </w:rPr>
        <w:t xml:space="preserve">, </w:t>
      </w:r>
      <w:proofErr w:type="spellStart"/>
      <w:r w:rsidRPr="008F318C">
        <w:rPr>
          <w:rFonts w:eastAsia="MS Mincho"/>
          <w:color w:val="000000"/>
          <w:lang w:val="hu-HU"/>
        </w:rPr>
        <w:t>which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helps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find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common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core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current</w:t>
      </w:r>
      <w:proofErr w:type="spellEnd"/>
      <w:r w:rsidRPr="008F318C">
        <w:rPr>
          <w:rFonts w:eastAsia="MS Mincho"/>
          <w:color w:val="000000"/>
          <w:lang w:val="hu-HU"/>
        </w:rPr>
        <w:t xml:space="preserve">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problems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understand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Hungarian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regulation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legal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practice</w:t>
      </w:r>
      <w:proofErr w:type="spellEnd"/>
      <w:r w:rsidRPr="008F318C">
        <w:rPr>
          <w:rFonts w:eastAsia="MS Mincho"/>
          <w:color w:val="000000"/>
          <w:lang w:val="hu-HU"/>
        </w:rPr>
        <w:t xml:space="preserve">. The </w:t>
      </w:r>
      <w:proofErr w:type="spellStart"/>
      <w:r w:rsidRPr="008F318C">
        <w:rPr>
          <w:rFonts w:eastAsia="MS Mincho"/>
          <w:color w:val="000000"/>
          <w:lang w:val="hu-HU"/>
        </w:rPr>
        <w:t>regulation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are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tightly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connected</w:t>
      </w:r>
      <w:proofErr w:type="spellEnd"/>
      <w:r w:rsidRPr="008F318C">
        <w:rPr>
          <w:rFonts w:eastAsia="MS Mincho"/>
          <w:color w:val="000000"/>
          <w:lang w:val="hu-HU"/>
        </w:rPr>
        <w:t xml:space="preserve">, </w:t>
      </w:r>
      <w:proofErr w:type="spellStart"/>
      <w:r w:rsidRPr="008F318C">
        <w:rPr>
          <w:rFonts w:eastAsia="MS Mincho"/>
          <w:color w:val="000000"/>
          <w:lang w:val="hu-HU"/>
        </w:rPr>
        <w:t>as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both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are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provide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risk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allocation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  <w:proofErr w:type="spellStart"/>
      <w:r w:rsidRPr="008F318C">
        <w:rPr>
          <w:rFonts w:eastAsia="MS Mincho"/>
          <w:color w:val="000000"/>
          <w:lang w:val="hu-HU"/>
        </w:rPr>
        <w:t>This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connection</w:t>
      </w:r>
      <w:proofErr w:type="spellEnd"/>
      <w:r w:rsidRPr="008F318C">
        <w:rPr>
          <w:rFonts w:eastAsia="MS Mincho"/>
          <w:color w:val="000000"/>
          <w:lang w:val="hu-HU"/>
        </w:rPr>
        <w:t xml:space="preserve"> is </w:t>
      </w:r>
      <w:proofErr w:type="spellStart"/>
      <w:r w:rsidRPr="008F318C">
        <w:rPr>
          <w:rFonts w:eastAsia="MS Mincho"/>
          <w:color w:val="000000"/>
          <w:lang w:val="hu-HU"/>
        </w:rPr>
        <w:t>somehow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obscure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since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normal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courses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students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are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facing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as</w:t>
      </w:r>
      <w:proofErr w:type="spellEnd"/>
      <w:r w:rsidRPr="008F318C">
        <w:rPr>
          <w:rFonts w:eastAsia="MS Mincho"/>
          <w:color w:val="000000"/>
          <w:lang w:val="hu-HU"/>
        </w:rPr>
        <w:t xml:space="preserve"> a </w:t>
      </w:r>
      <w:proofErr w:type="spellStart"/>
      <w:r w:rsidRPr="008F318C">
        <w:rPr>
          <w:rFonts w:eastAsia="MS Mincho"/>
          <w:color w:val="000000"/>
          <w:lang w:val="hu-HU"/>
        </w:rPr>
        <w:t>special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type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contract</w:t>
      </w:r>
      <w:proofErr w:type="spellEnd"/>
      <w:r w:rsidRPr="008F318C">
        <w:rPr>
          <w:rFonts w:eastAsia="MS Mincho"/>
          <w:color w:val="000000"/>
          <w:lang w:val="hu-HU"/>
        </w:rPr>
        <w:t xml:space="preserve">, </w:t>
      </w:r>
      <w:proofErr w:type="spellStart"/>
      <w:r w:rsidRPr="008F318C">
        <w:rPr>
          <w:rFonts w:eastAsia="MS Mincho"/>
          <w:color w:val="000000"/>
          <w:lang w:val="hu-HU"/>
        </w:rPr>
        <w:t>which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pushes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nature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background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hides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some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its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important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aspects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  <w:proofErr w:type="spellStart"/>
      <w:r w:rsidRPr="008F318C">
        <w:rPr>
          <w:rFonts w:eastAsia="MS Mincho"/>
          <w:color w:val="000000"/>
          <w:lang w:val="hu-HU"/>
        </w:rPr>
        <w:t>We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put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context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risk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allocation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jc w:val="both"/>
        <w:rPr>
          <w:b/>
        </w:rPr>
      </w:pPr>
      <w:r w:rsidRPr="008F318C">
        <w:rPr>
          <w:b/>
        </w:rPr>
        <w:t>Course schedule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functions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development</w:t>
      </w:r>
      <w:proofErr w:type="spellEnd"/>
      <w:r w:rsidRPr="008F318C">
        <w:rPr>
          <w:rFonts w:eastAsia="MS Mincho"/>
          <w:color w:val="000000"/>
          <w:lang w:val="hu-HU"/>
        </w:rPr>
        <w:t xml:space="preserve"> of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  <w:proofErr w:type="spellStart"/>
      <w:r w:rsidRPr="008F318C">
        <w:rPr>
          <w:rFonts w:eastAsia="MS Mincho"/>
          <w:color w:val="000000"/>
          <w:lang w:val="hu-HU"/>
        </w:rPr>
        <w:t>Risk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allocation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through</w:t>
      </w:r>
      <w:proofErr w:type="spellEnd"/>
      <w:r w:rsidRPr="008F318C">
        <w:rPr>
          <w:rFonts w:eastAsia="MS Mincho"/>
          <w:color w:val="000000"/>
          <w:lang w:val="hu-HU"/>
        </w:rPr>
        <w:t xml:space="preserve"> tort and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regulation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morality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philosophical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foundations</w:t>
      </w:r>
      <w:proofErr w:type="spellEnd"/>
      <w:r w:rsidRPr="008F318C">
        <w:rPr>
          <w:rFonts w:eastAsia="MS Mincho"/>
          <w:color w:val="000000"/>
          <w:lang w:val="hu-HU"/>
        </w:rPr>
        <w:t xml:space="preserve"> of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The </w:t>
      </w:r>
      <w:proofErr w:type="spellStart"/>
      <w:r w:rsidRPr="008F318C">
        <w:rPr>
          <w:rFonts w:eastAsia="MS Mincho"/>
          <w:color w:val="000000"/>
          <w:lang w:val="hu-HU"/>
        </w:rPr>
        <w:t>basic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elements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economic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analysis</w:t>
      </w:r>
      <w:proofErr w:type="spellEnd"/>
      <w:r w:rsidRPr="008F318C">
        <w:rPr>
          <w:rFonts w:eastAsia="MS Mincho"/>
          <w:color w:val="000000"/>
          <w:lang w:val="hu-HU"/>
        </w:rPr>
        <w:t xml:space="preserve"> of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fault </w:t>
      </w:r>
      <w:proofErr w:type="spellStart"/>
      <w:r w:rsidRPr="008F318C">
        <w:rPr>
          <w:rFonts w:eastAsia="MS Mincho"/>
          <w:color w:val="000000"/>
          <w:lang w:val="hu-HU"/>
        </w:rPr>
        <w:t>based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Hungarian</w:t>
      </w:r>
      <w:proofErr w:type="spellEnd"/>
      <w:r w:rsidRPr="008F318C">
        <w:rPr>
          <w:rFonts w:eastAsia="MS Mincho"/>
          <w:color w:val="000000"/>
          <w:lang w:val="hu-HU"/>
        </w:rPr>
        <w:t xml:space="preserve">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as</w:t>
      </w:r>
      <w:proofErr w:type="spellEnd"/>
      <w:r w:rsidRPr="008F318C">
        <w:rPr>
          <w:rFonts w:eastAsia="MS Mincho"/>
          <w:color w:val="000000"/>
          <w:lang w:val="hu-HU"/>
        </w:rPr>
        <w:t xml:space="preserve"> a </w:t>
      </w:r>
      <w:proofErr w:type="spellStart"/>
      <w:r w:rsidRPr="008F318C">
        <w:rPr>
          <w:rFonts w:eastAsia="MS Mincho"/>
          <w:color w:val="000000"/>
          <w:lang w:val="hu-HU"/>
        </w:rPr>
        <w:t>flexible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system</w:t>
      </w:r>
      <w:proofErr w:type="spellEnd"/>
      <w:r w:rsidRPr="008F318C">
        <w:rPr>
          <w:rFonts w:eastAsia="MS Mincho"/>
          <w:color w:val="000000"/>
          <w:lang w:val="hu-HU"/>
        </w:rPr>
        <w:t xml:space="preserve">: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limitations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strict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Hungarian</w:t>
      </w:r>
      <w:proofErr w:type="spellEnd"/>
      <w:r w:rsidRPr="008F318C">
        <w:rPr>
          <w:rFonts w:eastAsia="MS Mincho"/>
          <w:color w:val="000000"/>
          <w:lang w:val="hu-HU"/>
        </w:rPr>
        <w:t xml:space="preserve">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product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for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others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vicarious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infringement</w:t>
      </w:r>
      <w:proofErr w:type="spellEnd"/>
      <w:r w:rsidRPr="008F318C">
        <w:rPr>
          <w:rFonts w:eastAsia="MS Mincho"/>
          <w:color w:val="000000"/>
          <w:lang w:val="hu-HU"/>
        </w:rPr>
        <w:t xml:space="preserve"> of Human </w:t>
      </w:r>
      <w:proofErr w:type="spellStart"/>
      <w:r w:rsidRPr="008F318C">
        <w:rPr>
          <w:rFonts w:eastAsia="MS Mincho"/>
          <w:color w:val="000000"/>
          <w:lang w:val="hu-HU"/>
        </w:rPr>
        <w:t>Rights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immaterial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damages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assessment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damages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gain-based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damages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current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problems</w:t>
      </w:r>
      <w:proofErr w:type="spellEnd"/>
      <w:r w:rsidRPr="008F318C">
        <w:rPr>
          <w:rFonts w:eastAsia="MS Mincho"/>
          <w:color w:val="000000"/>
          <w:lang w:val="hu-HU"/>
        </w:rPr>
        <w:t xml:space="preserve"> of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development</w:t>
      </w:r>
      <w:proofErr w:type="spellEnd"/>
      <w:r w:rsidRPr="008F318C">
        <w:rPr>
          <w:rFonts w:eastAsia="MS Mincho"/>
          <w:color w:val="000000"/>
          <w:lang w:val="hu-HU"/>
        </w:rPr>
        <w:t xml:space="preserve">: </w:t>
      </w:r>
      <w:proofErr w:type="spellStart"/>
      <w:r w:rsidRPr="008F318C">
        <w:rPr>
          <w:rFonts w:eastAsia="MS Mincho"/>
          <w:color w:val="000000"/>
          <w:lang w:val="hu-HU"/>
        </w:rPr>
        <w:t>pure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economic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loss</w:t>
      </w:r>
      <w:proofErr w:type="spellEnd"/>
      <w:r w:rsidRPr="008F318C">
        <w:rPr>
          <w:rFonts w:eastAsia="MS Mincho"/>
          <w:color w:val="000000"/>
          <w:lang w:val="hu-HU"/>
        </w:rPr>
        <w:t xml:space="preserve">, </w:t>
      </w:r>
      <w:proofErr w:type="spellStart"/>
      <w:r w:rsidRPr="008F318C">
        <w:rPr>
          <w:rFonts w:eastAsia="MS Mincho"/>
          <w:color w:val="000000"/>
          <w:lang w:val="hu-HU"/>
        </w:rPr>
        <w:t>foreseeability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limit and </w:t>
      </w:r>
      <w:proofErr w:type="spellStart"/>
      <w:r w:rsidRPr="008F318C">
        <w:rPr>
          <w:rFonts w:eastAsia="MS Mincho"/>
          <w:color w:val="000000"/>
          <w:lang w:val="hu-HU"/>
        </w:rPr>
        <w:t>state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immunity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for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torts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breach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contract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other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bordering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problems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Hungarian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regulation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7E2137" w:rsidRDefault="002C5C44" w:rsidP="008F318C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</w:t>
      </w:r>
      <w:proofErr w:type="spellStart"/>
      <w:r w:rsidRPr="008F318C">
        <w:rPr>
          <w:rFonts w:eastAsia="MS Mincho"/>
          <w:color w:val="000000"/>
          <w:lang w:val="hu-HU"/>
        </w:rPr>
        <w:t>Current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problems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legal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practice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theory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field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03C29" w:rsidRPr="00203C29" w:rsidRDefault="00203C29" w:rsidP="008F318C">
      <w:pPr>
        <w:autoSpaceDE w:val="0"/>
        <w:autoSpaceDN w:val="0"/>
        <w:adjustRightInd w:val="0"/>
        <w:spacing w:after="120" w:line="260" w:lineRule="exact"/>
        <w:rPr>
          <w:b/>
        </w:rPr>
      </w:pPr>
      <w:r w:rsidRPr="00203C29">
        <w:rPr>
          <w:b/>
        </w:rPr>
        <w:t>Assessment</w:t>
      </w:r>
    </w:p>
    <w:p w:rsidR="00203C29" w:rsidRPr="008F318C" w:rsidRDefault="00203C29" w:rsidP="008F318C">
      <w:pPr>
        <w:autoSpaceDE w:val="0"/>
        <w:autoSpaceDN w:val="0"/>
        <w:adjustRightInd w:val="0"/>
        <w:spacing w:after="120" w:line="260" w:lineRule="exact"/>
      </w:pPr>
      <w:proofErr w:type="gramStart"/>
      <w:r>
        <w:t>Written exam.</w:t>
      </w:r>
      <w:proofErr w:type="gramEnd"/>
    </w:p>
    <w:sectPr w:rsidR="00203C29" w:rsidRPr="008F318C" w:rsidSect="00363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06" w:rsidRDefault="00C51A06" w:rsidP="002C5C44">
      <w:r>
        <w:separator/>
      </w:r>
    </w:p>
  </w:endnote>
  <w:endnote w:type="continuationSeparator" w:id="0">
    <w:p w:rsidR="00C51A06" w:rsidRDefault="00C51A06" w:rsidP="002C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8C" w:rsidRDefault="008F318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D0A9C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8F318C" w:rsidRDefault="00C51A06" w:rsidP="008F31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06" w:rsidRDefault="00C51A06" w:rsidP="002C5C44">
      <w:r>
        <w:separator/>
      </w:r>
    </w:p>
  </w:footnote>
  <w:footnote w:type="continuationSeparator" w:id="0">
    <w:p w:rsidR="00C51A06" w:rsidRDefault="00C51A06" w:rsidP="002C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8C" w:rsidRDefault="008F318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8C" w:rsidRDefault="008F318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8C" w:rsidRDefault="008F318C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-946150</wp:posOffset>
          </wp:positionH>
          <wp:positionV relativeFrom="paragraph">
            <wp:posOffset>111760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44"/>
    <w:rsid w:val="00053A5D"/>
    <w:rsid w:val="00173A8D"/>
    <w:rsid w:val="00203C29"/>
    <w:rsid w:val="002C5C44"/>
    <w:rsid w:val="00492AEA"/>
    <w:rsid w:val="006D0A9C"/>
    <w:rsid w:val="007E2137"/>
    <w:rsid w:val="008F318C"/>
    <w:rsid w:val="00C5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C5C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5C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l"/>
    <w:uiPriority w:val="99"/>
    <w:rsid w:val="002C5C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C5C4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C5C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5C4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C5C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5C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l"/>
    <w:uiPriority w:val="99"/>
    <w:rsid w:val="002C5C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C5C4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C5C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5C4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nyhard@ajk.elte.h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2018-12-06T14:43:00Z</dcterms:created>
  <dcterms:modified xsi:type="dcterms:W3CDTF">2018-12-06T14:43:00Z</dcterms:modified>
</cp:coreProperties>
</file>