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82" w:rsidRPr="00396A82" w:rsidRDefault="00396A82" w:rsidP="00396A82">
      <w:pPr>
        <w:keepNext/>
        <w:keepLines/>
        <w:spacing w:before="480"/>
        <w:jc w:val="center"/>
        <w:outlineLvl w:val="0"/>
        <w:rPr>
          <w:rFonts w:ascii="Times New Roman" w:hAnsi="Times New Roman"/>
          <w:b/>
          <w:bCs/>
          <w:sz w:val="28"/>
          <w:szCs w:val="28"/>
          <w:u w:val="single"/>
          <w:lang w:val="en-US"/>
        </w:rPr>
      </w:pPr>
      <w:r w:rsidRPr="00396A82">
        <w:rPr>
          <w:rFonts w:ascii="Times New Roman" w:eastAsiaTheme="majorEastAsia" w:hAnsi="Times New Roman"/>
          <w:b/>
          <w:bCs/>
          <w:sz w:val="28"/>
          <w:szCs w:val="28"/>
          <w:u w:val="single"/>
          <w:lang w:val="en-US"/>
        </w:rPr>
        <w:t>Comparative Administrative Law</w:t>
      </w:r>
      <w:r w:rsidRPr="00396A82">
        <w:rPr>
          <w:rFonts w:ascii="Times New Roman" w:eastAsiaTheme="majorEastAsia" w:hAnsi="Times New Roman"/>
          <w:b/>
          <w:bCs/>
          <w:sz w:val="28"/>
          <w:szCs w:val="28"/>
          <w:u w:val="single"/>
          <w:lang w:val="en-US"/>
        </w:rPr>
        <w:br/>
        <w:t xml:space="preserve"> – Introduction to the Administrative Law and Administrative </w:t>
      </w:r>
      <w:proofErr w:type="spellStart"/>
      <w:r w:rsidRPr="00396A82">
        <w:rPr>
          <w:rFonts w:ascii="Times New Roman" w:eastAsiaTheme="majorEastAsia" w:hAnsi="Times New Roman"/>
          <w:b/>
          <w:bCs/>
          <w:sz w:val="28"/>
          <w:szCs w:val="28"/>
          <w:u w:val="single"/>
          <w:lang w:val="en-US"/>
        </w:rPr>
        <w:t>Organisational</w:t>
      </w:r>
      <w:proofErr w:type="spellEnd"/>
      <w:r w:rsidRPr="00396A82">
        <w:rPr>
          <w:rFonts w:ascii="Times New Roman" w:eastAsiaTheme="majorEastAsia" w:hAnsi="Times New Roman"/>
          <w:b/>
          <w:bCs/>
          <w:sz w:val="28"/>
          <w:szCs w:val="28"/>
          <w:u w:val="single"/>
          <w:lang w:val="en-US"/>
        </w:rPr>
        <w:t xml:space="preserve"> System of the </w:t>
      </w:r>
      <w:proofErr w:type="spellStart"/>
      <w:r w:rsidRPr="00396A82">
        <w:rPr>
          <w:rFonts w:ascii="Times New Roman" w:eastAsiaTheme="majorEastAsia" w:hAnsi="Times New Roman"/>
          <w:b/>
          <w:bCs/>
          <w:sz w:val="28"/>
          <w:szCs w:val="28"/>
          <w:u w:val="single"/>
          <w:lang w:val="en-US"/>
        </w:rPr>
        <w:t>Visegrad</w:t>
      </w:r>
      <w:proofErr w:type="spellEnd"/>
      <w:r w:rsidRPr="00396A82">
        <w:rPr>
          <w:rFonts w:ascii="Times New Roman" w:eastAsiaTheme="majorEastAsia" w:hAnsi="Times New Roman"/>
          <w:b/>
          <w:bCs/>
          <w:sz w:val="28"/>
          <w:szCs w:val="28"/>
          <w:u w:val="single"/>
          <w:lang w:val="en-US"/>
        </w:rPr>
        <w:t xml:space="preserve"> Countries</w:t>
      </w:r>
      <w:r>
        <w:rPr>
          <w:rFonts w:ascii="Times New Roman" w:eastAsiaTheme="majorEastAsia" w:hAnsi="Times New Roman"/>
          <w:b/>
          <w:bCs/>
          <w:sz w:val="28"/>
          <w:szCs w:val="28"/>
          <w:u w:val="single"/>
          <w:lang w:val="en-US"/>
        </w:rPr>
        <w:t xml:space="preserve"> (Poland, Czech republic, Slovakia, Hungary)</w:t>
      </w:r>
      <w:r w:rsidRPr="00396A82">
        <w:rPr>
          <w:rFonts w:ascii="Times New Roman" w:eastAsiaTheme="majorEastAsia" w:hAnsi="Times New Roman"/>
          <w:b/>
          <w:bCs/>
          <w:sz w:val="28"/>
          <w:szCs w:val="28"/>
          <w:u w:val="single"/>
          <w:lang w:val="en-US"/>
        </w:rPr>
        <w:t xml:space="preserve"> with Special Focus on Simplifications in Administrative Procedural Law</w:t>
      </w:r>
    </w:p>
    <w:p w:rsidR="00396A82" w:rsidRPr="00396A82" w:rsidRDefault="00396A82" w:rsidP="00396A82">
      <w:pPr>
        <w:spacing w:after="120"/>
        <w:ind w:right="-8"/>
        <w:rPr>
          <w:rFonts w:ascii="Times New Roman" w:hAnsi="Times New Roman"/>
          <w:color w:val="000000"/>
          <w:lang w:val="en-US"/>
        </w:rPr>
      </w:pPr>
    </w:p>
    <w:p w:rsidR="00396A82" w:rsidRPr="00396A82" w:rsidRDefault="00396A82" w:rsidP="00396A82">
      <w:pPr>
        <w:rPr>
          <w:rFonts w:ascii="Times New Roman" w:eastAsia="Times New Roman" w:hAnsi="Times New Roman"/>
          <w:lang w:val="en-US"/>
        </w:rPr>
      </w:pPr>
      <w:r w:rsidRPr="00396A82">
        <w:rPr>
          <w:rFonts w:ascii="Times New Roman" w:eastAsia="Times New Roman" w:hAnsi="Times New Roman"/>
          <w:lang w:val="en-US"/>
        </w:rPr>
        <w:t xml:space="preserve">Course director: </w:t>
      </w:r>
    </w:p>
    <w:p w:rsidR="00396A82" w:rsidRPr="00396A82" w:rsidRDefault="00396A82" w:rsidP="00396A82">
      <w:pPr>
        <w:rPr>
          <w:rFonts w:ascii="Times New Roman" w:eastAsia="Times New Roman" w:hAnsi="Times New Roman"/>
          <w:b/>
          <w:lang w:val="en-US"/>
        </w:rPr>
      </w:pPr>
      <w:r w:rsidRPr="00396A82">
        <w:rPr>
          <w:rFonts w:ascii="Times New Roman" w:eastAsia="Times New Roman" w:hAnsi="Times New Roman"/>
          <w:b/>
          <w:lang w:val="en-US"/>
        </w:rPr>
        <w:t xml:space="preserve">Dr. </w:t>
      </w:r>
      <w:proofErr w:type="spellStart"/>
      <w:proofErr w:type="gramStart"/>
      <w:r w:rsidRPr="00396A82">
        <w:rPr>
          <w:rFonts w:ascii="Times New Roman" w:eastAsia="Times New Roman" w:hAnsi="Times New Roman"/>
          <w:b/>
          <w:lang w:val="en-US"/>
        </w:rPr>
        <w:t>habil</w:t>
      </w:r>
      <w:proofErr w:type="spellEnd"/>
      <w:proofErr w:type="gramEnd"/>
      <w:r w:rsidRPr="00396A82">
        <w:rPr>
          <w:rFonts w:ascii="Times New Roman" w:eastAsia="Times New Roman" w:hAnsi="Times New Roman"/>
          <w:b/>
          <w:lang w:val="en-US"/>
        </w:rPr>
        <w:t>. Krisztina Rozsnyai</w:t>
      </w:r>
    </w:p>
    <w:p w:rsidR="00396A82" w:rsidRPr="00396A82" w:rsidRDefault="00396A82" w:rsidP="00396A82">
      <w:pPr>
        <w:ind w:right="-8"/>
        <w:rPr>
          <w:rFonts w:ascii="Times New Roman" w:eastAsia="Times New Roman" w:hAnsi="Times New Roman"/>
          <w:lang w:val="en-US"/>
        </w:rPr>
      </w:pPr>
      <w:r w:rsidRPr="00396A82">
        <w:rPr>
          <w:rFonts w:ascii="Times New Roman" w:eastAsia="Times New Roman" w:hAnsi="Times New Roman"/>
          <w:lang w:val="en-US"/>
        </w:rPr>
        <w:t>Associate Professor</w:t>
      </w:r>
    </w:p>
    <w:p w:rsidR="00396A82" w:rsidRPr="00396A82" w:rsidRDefault="00396A82" w:rsidP="00396A82">
      <w:pPr>
        <w:ind w:right="-8"/>
        <w:rPr>
          <w:rFonts w:ascii="Times New Roman" w:eastAsia="Times New Roman" w:hAnsi="Times New Roman"/>
          <w:lang w:val="en-US"/>
        </w:rPr>
      </w:pPr>
      <w:r w:rsidRPr="00396A82">
        <w:rPr>
          <w:rFonts w:ascii="Times New Roman" w:hAnsi="Times New Roman"/>
          <w:bCs/>
          <w:lang w:val="en-US"/>
        </w:rPr>
        <w:t>Department of Administrative Law (ELTE)</w:t>
      </w:r>
    </w:p>
    <w:p w:rsidR="00396A82" w:rsidRPr="00396A82" w:rsidRDefault="00396A82" w:rsidP="00396A82">
      <w:pPr>
        <w:autoSpaceDE w:val="0"/>
        <w:autoSpaceDN w:val="0"/>
        <w:adjustRightInd w:val="0"/>
        <w:spacing w:after="60"/>
        <w:ind w:right="-8"/>
        <w:jc w:val="both"/>
        <w:rPr>
          <w:rFonts w:ascii="Times New Roman" w:hAnsi="Times New Roman"/>
          <w:color w:val="000000"/>
        </w:rPr>
      </w:pPr>
      <w:proofErr w:type="gramStart"/>
      <w:r w:rsidRPr="00396A82">
        <w:rPr>
          <w:rFonts w:ascii="Times New Roman" w:hAnsi="Times New Roman"/>
          <w:color w:val="000000"/>
        </w:rPr>
        <w:t>e-mail</w:t>
      </w:r>
      <w:proofErr w:type="gramEnd"/>
      <w:r w:rsidRPr="00396A82">
        <w:rPr>
          <w:rFonts w:ascii="Times New Roman" w:hAnsi="Times New Roman"/>
          <w:color w:val="000000"/>
        </w:rPr>
        <w:t xml:space="preserve">: </w:t>
      </w:r>
      <w:hyperlink r:id="rId6" w:history="1">
        <w:r w:rsidRPr="00396A82">
          <w:rPr>
            <w:rFonts w:ascii="Times New Roman" w:hAnsi="Times New Roman"/>
            <w:color w:val="0000FF"/>
            <w:u w:val="single"/>
          </w:rPr>
          <w:t>rozsnyaik@ajk.elte.hu</w:t>
        </w:r>
      </w:hyperlink>
    </w:p>
    <w:p w:rsidR="00396A82" w:rsidRPr="00396A82" w:rsidRDefault="00396A82" w:rsidP="00396A82">
      <w:pPr>
        <w:rPr>
          <w:rFonts w:ascii="Times New Roman" w:eastAsia="Times New Roman" w:hAnsi="Times New Roman"/>
          <w:lang w:val="en-US"/>
        </w:rPr>
      </w:pPr>
    </w:p>
    <w:p w:rsidR="00396A82" w:rsidRPr="00396A82" w:rsidRDefault="00396A82" w:rsidP="00396A82">
      <w:pPr>
        <w:rPr>
          <w:rFonts w:ascii="Times New Roman" w:eastAsia="Times New Roman" w:hAnsi="Times New Roman"/>
          <w:lang w:val="en-US"/>
        </w:rPr>
      </w:pPr>
      <w:r w:rsidRPr="00396A82">
        <w:rPr>
          <w:rFonts w:ascii="Times New Roman" w:eastAsia="Times New Roman" w:hAnsi="Times New Roman"/>
          <w:b/>
          <w:lang w:val="en-US"/>
        </w:rPr>
        <w:t xml:space="preserve">Lecturers: Matej </w:t>
      </w:r>
      <w:proofErr w:type="spellStart"/>
      <w:r w:rsidRPr="00396A82">
        <w:rPr>
          <w:rFonts w:ascii="Times New Roman" w:eastAsia="Times New Roman" w:hAnsi="Times New Roman"/>
          <w:b/>
          <w:lang w:val="en-US"/>
        </w:rPr>
        <w:t>Horvat</w:t>
      </w:r>
      <w:proofErr w:type="spellEnd"/>
      <w:r w:rsidRPr="00396A82">
        <w:rPr>
          <w:rFonts w:ascii="Times New Roman" w:eastAsia="Times New Roman" w:hAnsi="Times New Roman"/>
          <w:b/>
          <w:lang w:val="en-US"/>
        </w:rPr>
        <w:t xml:space="preserve">, </w:t>
      </w:r>
      <w:proofErr w:type="spellStart"/>
      <w:r w:rsidRPr="00396A82">
        <w:rPr>
          <w:rFonts w:ascii="Times New Roman" w:eastAsia="Times New Roman" w:hAnsi="Times New Roman"/>
          <w:b/>
          <w:lang w:val="en-US"/>
        </w:rPr>
        <w:t>Wojciech</w:t>
      </w:r>
      <w:proofErr w:type="spellEnd"/>
      <w:r w:rsidRPr="00396A82">
        <w:rPr>
          <w:rFonts w:ascii="Times New Roman" w:eastAsia="Times New Roman" w:hAnsi="Times New Roman"/>
          <w:b/>
          <w:lang w:val="en-US"/>
        </w:rPr>
        <w:t xml:space="preserve"> </w:t>
      </w:r>
      <w:proofErr w:type="spellStart"/>
      <w:r w:rsidRPr="00396A82">
        <w:rPr>
          <w:rFonts w:ascii="Times New Roman" w:eastAsia="Times New Roman" w:hAnsi="Times New Roman"/>
          <w:b/>
          <w:lang w:val="en-US"/>
        </w:rPr>
        <w:t>Piatek</w:t>
      </w:r>
      <w:proofErr w:type="spellEnd"/>
      <w:r w:rsidRPr="00396A82">
        <w:rPr>
          <w:rFonts w:ascii="Times New Roman" w:eastAsia="Times New Roman" w:hAnsi="Times New Roman"/>
          <w:b/>
          <w:lang w:val="en-US"/>
        </w:rPr>
        <w:t xml:space="preserve">, </w:t>
      </w:r>
      <w:proofErr w:type="spellStart"/>
      <w:r w:rsidRPr="00396A82">
        <w:rPr>
          <w:rFonts w:ascii="Times New Roman" w:eastAsia="Times New Roman" w:hAnsi="Times New Roman"/>
          <w:b/>
          <w:lang w:val="en-US"/>
        </w:rPr>
        <w:t>Lukáš</w:t>
      </w:r>
      <w:proofErr w:type="spellEnd"/>
      <w:r w:rsidRPr="00396A82">
        <w:rPr>
          <w:rFonts w:ascii="Times New Roman" w:eastAsia="Times New Roman" w:hAnsi="Times New Roman"/>
          <w:b/>
          <w:lang w:val="en-US"/>
        </w:rPr>
        <w:t xml:space="preserve"> </w:t>
      </w:r>
      <w:proofErr w:type="spellStart"/>
      <w:r w:rsidRPr="00396A82">
        <w:rPr>
          <w:rFonts w:ascii="Times New Roman" w:eastAsia="Times New Roman" w:hAnsi="Times New Roman"/>
          <w:b/>
          <w:lang w:val="en-US"/>
        </w:rPr>
        <w:t>Potěšil</w:t>
      </w:r>
      <w:proofErr w:type="spellEnd"/>
      <w:r w:rsidRPr="00396A82">
        <w:rPr>
          <w:rFonts w:ascii="Times New Roman" w:eastAsia="Times New Roman" w:hAnsi="Times New Roman"/>
          <w:b/>
          <w:lang w:val="en-US"/>
        </w:rPr>
        <w:t xml:space="preserve"> and Krisztina Rozsnyai</w:t>
      </w:r>
    </w:p>
    <w:p w:rsidR="00396A82" w:rsidRPr="00396A82" w:rsidRDefault="00396A82" w:rsidP="00396A82">
      <w:pPr>
        <w:ind w:right="-8"/>
        <w:jc w:val="both"/>
        <w:rPr>
          <w:rFonts w:ascii="Times New Roman" w:eastAsia="Times New Roman" w:hAnsi="Times New Roman"/>
          <w:b/>
          <w:color w:val="000000"/>
        </w:rPr>
      </w:pPr>
    </w:p>
    <w:p w:rsidR="00396A82" w:rsidRPr="00396A82" w:rsidRDefault="00396A82" w:rsidP="00396A82">
      <w:pPr>
        <w:ind w:right="-8"/>
        <w:jc w:val="both"/>
        <w:rPr>
          <w:rFonts w:ascii="Times New Roman" w:eastAsia="Times New Roman" w:hAnsi="Times New Roman"/>
          <w:b/>
          <w:color w:val="000000"/>
        </w:rPr>
      </w:pPr>
    </w:p>
    <w:p w:rsidR="00396A82" w:rsidRPr="00396A82" w:rsidRDefault="00396A82" w:rsidP="00396A82">
      <w:pPr>
        <w:spacing w:after="120" w:line="320" w:lineRule="exact"/>
        <w:jc w:val="both"/>
        <w:rPr>
          <w:rFonts w:ascii="Times New Roman" w:eastAsia="Times New Roman" w:hAnsi="Times New Roman"/>
          <w:lang w:val="en-US"/>
        </w:rPr>
      </w:pPr>
      <w:r w:rsidRPr="00396A82">
        <w:rPr>
          <w:rFonts w:ascii="Times New Roman" w:eastAsia="Times New Roman" w:hAnsi="Times New Roman"/>
          <w:b/>
          <w:lang w:val="en-US"/>
        </w:rPr>
        <w:t>Course description</w:t>
      </w:r>
    </w:p>
    <w:p w:rsidR="00396A82" w:rsidRPr="00396A82" w:rsidRDefault="00396A82" w:rsidP="00396A82">
      <w:pPr>
        <w:jc w:val="both"/>
        <w:rPr>
          <w:rFonts w:ascii="Times New Roman" w:eastAsia="Times New Roman" w:hAnsi="Times New Roman"/>
          <w:lang w:val="en-US"/>
        </w:rPr>
      </w:pPr>
      <w:r w:rsidRPr="00396A82">
        <w:rPr>
          <w:rFonts w:ascii="Times New Roman" w:eastAsia="Times New Roman" w:hAnsi="Times New Roman"/>
          <w:lang w:val="en-US"/>
        </w:rPr>
        <w:t>T</w:t>
      </w:r>
      <w:r w:rsidRPr="00396A82">
        <w:rPr>
          <w:rFonts w:ascii="Times New Roman" w:eastAsia="Times New Roman" w:hAnsi="Times New Roman"/>
          <w:iCs/>
          <w:lang w:val="en-US"/>
        </w:rPr>
        <w:t>he aim of this course is to draw the horizon of administrative law in central Europe in a comparative manner. In this vain, t</w:t>
      </w:r>
      <w:r w:rsidRPr="00396A82">
        <w:rPr>
          <w:rFonts w:ascii="Times New Roman" w:eastAsia="Times New Roman" w:hAnsi="Times New Roman"/>
          <w:lang w:val="en-US"/>
        </w:rPr>
        <w:t xml:space="preserve">he course aims at giving an insight to a very important part of public law of the </w:t>
      </w:r>
      <w:proofErr w:type="spellStart"/>
      <w:r w:rsidRPr="00396A82">
        <w:rPr>
          <w:rFonts w:ascii="Times New Roman" w:eastAsia="Times New Roman" w:hAnsi="Times New Roman"/>
          <w:lang w:val="en-US"/>
        </w:rPr>
        <w:t>Visegrad</w:t>
      </w:r>
      <w:proofErr w:type="spellEnd"/>
      <w:r w:rsidRPr="00396A82">
        <w:rPr>
          <w:rFonts w:ascii="Times New Roman" w:eastAsia="Times New Roman" w:hAnsi="Times New Roman"/>
          <w:lang w:val="en-US"/>
        </w:rPr>
        <w:t xml:space="preserve"> countries, their Administrative </w:t>
      </w:r>
      <w:proofErr w:type="spellStart"/>
      <w:r w:rsidRPr="00396A82">
        <w:rPr>
          <w:rFonts w:ascii="Times New Roman" w:eastAsia="Times New Roman" w:hAnsi="Times New Roman"/>
          <w:lang w:val="en-US"/>
        </w:rPr>
        <w:t>Organisation</w:t>
      </w:r>
      <w:proofErr w:type="spellEnd"/>
      <w:r w:rsidRPr="00396A82">
        <w:rPr>
          <w:rFonts w:ascii="Times New Roman" w:eastAsia="Times New Roman" w:hAnsi="Times New Roman"/>
          <w:lang w:val="en-US"/>
        </w:rPr>
        <w:t xml:space="preserve"> and Administrative Procedural Law. The course is part of a research project conducted with a grant from </w:t>
      </w:r>
      <w:proofErr w:type="spellStart"/>
      <w:r w:rsidRPr="00396A82">
        <w:rPr>
          <w:rFonts w:ascii="Times New Roman" w:eastAsia="Times New Roman" w:hAnsi="Times New Roman"/>
          <w:lang w:val="en-US"/>
        </w:rPr>
        <w:t>Visegrad</w:t>
      </w:r>
      <w:proofErr w:type="spellEnd"/>
      <w:r w:rsidRPr="00396A82">
        <w:rPr>
          <w:rFonts w:ascii="Times New Roman" w:eastAsia="Times New Roman" w:hAnsi="Times New Roman"/>
          <w:lang w:val="en-US"/>
        </w:rPr>
        <w:t xml:space="preserve"> Fund, </w:t>
      </w:r>
      <w:proofErr w:type="spellStart"/>
      <w:r w:rsidRPr="00396A82">
        <w:rPr>
          <w:rFonts w:ascii="Times New Roman" w:eastAsia="Times New Roman" w:hAnsi="Times New Roman"/>
          <w:lang w:val="en-US"/>
        </w:rPr>
        <w:t>wich</w:t>
      </w:r>
      <w:proofErr w:type="spellEnd"/>
      <w:r w:rsidRPr="00396A82">
        <w:rPr>
          <w:rFonts w:ascii="Times New Roman" w:eastAsia="Times New Roman" w:hAnsi="Times New Roman"/>
          <w:lang w:val="en-US"/>
        </w:rPr>
        <w:t xml:space="preserve"> is centered </w:t>
      </w:r>
      <w:proofErr w:type="gramStart"/>
      <w:r w:rsidRPr="00396A82">
        <w:rPr>
          <w:rFonts w:ascii="Times New Roman" w:eastAsia="Times New Roman" w:hAnsi="Times New Roman"/>
          <w:lang w:val="en-US"/>
        </w:rPr>
        <w:t>around</w:t>
      </w:r>
      <w:proofErr w:type="gramEnd"/>
      <w:r w:rsidRPr="00396A82">
        <w:rPr>
          <w:rFonts w:ascii="Times New Roman" w:eastAsia="Times New Roman" w:hAnsi="Times New Roman"/>
          <w:lang w:val="en-US"/>
        </w:rPr>
        <w:t xml:space="preserve"> the recent changes </w:t>
      </w:r>
      <w:proofErr w:type="spellStart"/>
      <w:r w:rsidRPr="00396A82">
        <w:rPr>
          <w:rFonts w:ascii="Times New Roman" w:eastAsia="Times New Roman" w:hAnsi="Times New Roman"/>
          <w:lang w:val="en-US"/>
        </w:rPr>
        <w:t>int</w:t>
      </w:r>
      <w:proofErr w:type="spellEnd"/>
      <w:r w:rsidRPr="00396A82">
        <w:rPr>
          <w:rFonts w:ascii="Times New Roman" w:eastAsia="Times New Roman" w:hAnsi="Times New Roman"/>
          <w:lang w:val="en-US"/>
        </w:rPr>
        <w:t xml:space="preserve"> he four countries all aimed at accelerating and simplifying administrative procedures. The four seminars in March and April give insight to the national systems in a coherent, previously </w:t>
      </w:r>
      <w:proofErr w:type="spellStart"/>
      <w:r w:rsidRPr="00396A82">
        <w:rPr>
          <w:rFonts w:ascii="Times New Roman" w:eastAsia="Times New Roman" w:hAnsi="Times New Roman"/>
          <w:lang w:val="en-US"/>
        </w:rPr>
        <w:t>harmonised</w:t>
      </w:r>
      <w:proofErr w:type="spellEnd"/>
      <w:r w:rsidRPr="00396A82">
        <w:rPr>
          <w:rFonts w:ascii="Times New Roman" w:eastAsia="Times New Roman" w:hAnsi="Times New Roman"/>
          <w:lang w:val="en-US"/>
        </w:rPr>
        <w:t xml:space="preserve"> manner, along the same topics where this is possible. Each lecture begins with an introduction to the history of administrative procedural law in the respective country, continued by the constitutional framework framing administrative </w:t>
      </w:r>
      <w:proofErr w:type="spellStart"/>
      <w:r w:rsidRPr="00396A82">
        <w:rPr>
          <w:rFonts w:ascii="Times New Roman" w:eastAsia="Times New Roman" w:hAnsi="Times New Roman"/>
          <w:lang w:val="en-US"/>
        </w:rPr>
        <w:t>organisation</w:t>
      </w:r>
      <w:proofErr w:type="spellEnd"/>
      <w:r w:rsidRPr="00396A82">
        <w:rPr>
          <w:rFonts w:ascii="Times New Roman" w:eastAsia="Times New Roman" w:hAnsi="Times New Roman"/>
          <w:lang w:val="en-US"/>
        </w:rPr>
        <w:t xml:space="preserve"> and administrative procedure. After this general introduction, the main features of administrative procedure are highlighted. Int he closing part, the focus shifts to the simplifications in administrative procedural law. If there are simplified procedures, they are </w:t>
      </w:r>
      <w:proofErr w:type="spellStart"/>
      <w:r w:rsidRPr="00396A82">
        <w:rPr>
          <w:rFonts w:ascii="Times New Roman" w:eastAsia="Times New Roman" w:hAnsi="Times New Roman"/>
          <w:lang w:val="en-US"/>
        </w:rPr>
        <w:t>analysed</w:t>
      </w:r>
      <w:proofErr w:type="spellEnd"/>
      <w:r w:rsidRPr="00396A82">
        <w:rPr>
          <w:rFonts w:ascii="Times New Roman" w:eastAsia="Times New Roman" w:hAnsi="Times New Roman"/>
          <w:lang w:val="en-US"/>
        </w:rPr>
        <w:t xml:space="preserve"> in depth, as well as other institutions aimed at decreasing bureaucratic burdens and accelerating the handling of administrative cases both in general administrative procedural law and in sectoral law. Given the interdependencies, main features of European Union Law aimed at simplifications are also </w:t>
      </w:r>
      <w:proofErr w:type="spellStart"/>
      <w:r w:rsidRPr="00396A82">
        <w:rPr>
          <w:rFonts w:ascii="Times New Roman" w:eastAsia="Times New Roman" w:hAnsi="Times New Roman"/>
          <w:lang w:val="en-US"/>
        </w:rPr>
        <w:t>analysed</w:t>
      </w:r>
      <w:proofErr w:type="spellEnd"/>
      <w:r w:rsidRPr="00396A82">
        <w:rPr>
          <w:rFonts w:ascii="Times New Roman" w:eastAsia="Times New Roman" w:hAnsi="Times New Roman"/>
          <w:lang w:val="en-US"/>
        </w:rPr>
        <w:t>, as well as the transposition of these rules.</w:t>
      </w:r>
    </w:p>
    <w:p w:rsidR="00396A82" w:rsidRPr="00396A82" w:rsidRDefault="00396A82" w:rsidP="00396A82">
      <w:pPr>
        <w:spacing w:after="120" w:line="320" w:lineRule="exact"/>
        <w:jc w:val="both"/>
        <w:rPr>
          <w:rFonts w:ascii="Times New Roman" w:eastAsia="Times New Roman" w:hAnsi="Times New Roman"/>
          <w:b/>
          <w:lang w:val="en-GB"/>
        </w:rPr>
      </w:pPr>
    </w:p>
    <w:p w:rsidR="00396A82" w:rsidRPr="00396A82" w:rsidRDefault="00396A82" w:rsidP="00396A82">
      <w:pPr>
        <w:spacing w:after="120" w:line="320" w:lineRule="exact"/>
        <w:jc w:val="both"/>
        <w:rPr>
          <w:rFonts w:ascii="Times New Roman" w:eastAsia="Times New Roman" w:hAnsi="Times New Roman"/>
          <w:b/>
          <w:lang w:val="en-GB"/>
        </w:rPr>
      </w:pPr>
      <w:r w:rsidRPr="00396A82">
        <w:rPr>
          <w:rFonts w:ascii="Times New Roman" w:eastAsia="Times New Roman" w:hAnsi="Times New Roman"/>
          <w:b/>
          <w:lang w:val="en-GB"/>
        </w:rPr>
        <w:t>Competences</w:t>
      </w:r>
    </w:p>
    <w:p w:rsidR="00396A82" w:rsidRPr="00396A82" w:rsidRDefault="00396A82" w:rsidP="00396A82">
      <w:pPr>
        <w:spacing w:after="120" w:line="320" w:lineRule="exact"/>
        <w:jc w:val="both"/>
        <w:rPr>
          <w:rFonts w:ascii="Times New Roman" w:eastAsia="Times New Roman" w:hAnsi="Times New Roman"/>
          <w:lang w:val="en-US"/>
        </w:rPr>
      </w:pPr>
      <w:r w:rsidRPr="00396A82">
        <w:rPr>
          <w:rFonts w:ascii="Times New Roman" w:eastAsia="Times New Roman" w:hAnsi="Times New Roman"/>
          <w:lang w:val="en-GB"/>
        </w:rPr>
        <w:t>The primary objective of the course is to enable the students to gain a horizontal understanding and appreciation of administrative procedural rules as guarantees of the rights of citizens. Students will gain an in-depth insight on the organisation of the administrative system in Poland, Hungary, Slovakia and Czech Republic on the one hand and to understand the national administrative procedural settings on the other. Competences acquired in this course will include the ability to use the comparative method as well as the ability to identify the pros and cons of legislative reforms in the field of administrative procedure. Students will be also familiar with some of the corresponding case law of the national supreme (administrative) courts and will be able to link that case law to administrative practices.</w:t>
      </w:r>
    </w:p>
    <w:p w:rsidR="00396A82" w:rsidRPr="00396A82" w:rsidRDefault="00396A82" w:rsidP="00396A82">
      <w:pPr>
        <w:spacing w:after="120" w:line="320" w:lineRule="exact"/>
        <w:rPr>
          <w:rFonts w:ascii="Times New Roman" w:eastAsia="Times New Roman" w:hAnsi="Times New Roman"/>
          <w:b/>
          <w:lang w:val="en-US"/>
        </w:rPr>
      </w:pPr>
      <w:r w:rsidRPr="00396A82">
        <w:rPr>
          <w:rFonts w:ascii="Times New Roman" w:eastAsia="Times New Roman" w:hAnsi="Times New Roman"/>
          <w:b/>
          <w:lang w:val="en-US"/>
        </w:rPr>
        <w:lastRenderedPageBreak/>
        <w:t>Schedule:</w:t>
      </w:r>
    </w:p>
    <w:p w:rsidR="00396A82" w:rsidRPr="00396A82" w:rsidRDefault="00396A82" w:rsidP="00396A82">
      <w:pPr>
        <w:rPr>
          <w:rFonts w:ascii="Times New Roman" w:eastAsia="Times New Roman" w:hAnsi="Times New Roman"/>
          <w:lang w:val="en-US"/>
        </w:rPr>
      </w:pPr>
      <w:r w:rsidRPr="00396A82">
        <w:rPr>
          <w:rFonts w:ascii="Times New Roman" w:eastAsia="Times New Roman" w:hAnsi="Times New Roman"/>
          <w:b/>
          <w:lang w:val="en-US"/>
        </w:rPr>
        <w:t xml:space="preserve">Dates: </w:t>
      </w:r>
      <w:r w:rsidRPr="00396A82">
        <w:rPr>
          <w:rFonts w:ascii="Times New Roman" w:eastAsia="Times New Roman" w:hAnsi="Times New Roman"/>
          <w:lang w:val="en-US"/>
        </w:rPr>
        <w:t xml:space="preserve">Every second (even) Friday from March to May, 8:00-14:00 </w:t>
      </w:r>
    </w:p>
    <w:p w:rsidR="00396A82" w:rsidRPr="00396A82" w:rsidRDefault="00396A82" w:rsidP="00396A82">
      <w:pPr>
        <w:rPr>
          <w:rFonts w:ascii="Times New Roman" w:eastAsia="Times New Roman" w:hAnsi="Times New Roman"/>
          <w:lang w:val="en-US"/>
        </w:rPr>
      </w:pPr>
    </w:p>
    <w:p w:rsidR="00396A82" w:rsidRPr="00396A82" w:rsidRDefault="00396A82" w:rsidP="00396A82">
      <w:pPr>
        <w:rPr>
          <w:rFonts w:ascii="Times New Roman" w:eastAsia="Times New Roman" w:hAnsi="Times New Roman"/>
          <w:lang w:val="en-US"/>
        </w:rPr>
      </w:pPr>
      <w:r w:rsidRPr="00396A82">
        <w:rPr>
          <w:rFonts w:ascii="Times New Roman" w:eastAsia="Times New Roman" w:hAnsi="Times New Roman"/>
          <w:b/>
          <w:highlight w:val="lightGray"/>
          <w:lang w:val="en-US"/>
        </w:rPr>
        <w:t>Seminar 1</w:t>
      </w:r>
      <w:proofErr w:type="gramStart"/>
      <w:r w:rsidRPr="00396A82">
        <w:rPr>
          <w:rFonts w:ascii="Times New Roman" w:eastAsia="Times New Roman" w:hAnsi="Times New Roman"/>
          <w:b/>
          <w:highlight w:val="lightGray"/>
          <w:lang w:val="en-US"/>
        </w:rPr>
        <w:t>.</w:t>
      </w:r>
      <w:r w:rsidRPr="00396A82">
        <w:rPr>
          <w:rFonts w:ascii="Times New Roman" w:eastAsia="Times New Roman" w:hAnsi="Times New Roman"/>
          <w:b/>
          <w:lang w:val="en-US"/>
        </w:rPr>
        <w:t>(</w:t>
      </w:r>
      <w:proofErr w:type="gramEnd"/>
      <w:r w:rsidRPr="00396A82">
        <w:rPr>
          <w:rFonts w:ascii="Times New Roman" w:eastAsia="Times New Roman" w:hAnsi="Times New Roman"/>
          <w:b/>
          <w:lang w:val="en-US"/>
        </w:rPr>
        <w:t>March 6)</w:t>
      </w:r>
      <w:r w:rsidRPr="00396A82">
        <w:rPr>
          <w:rFonts w:ascii="Times New Roman" w:eastAsia="Times New Roman" w:hAnsi="Times New Roman"/>
          <w:lang w:val="en-US"/>
        </w:rPr>
        <w:t xml:space="preserve"> – Introduction to Polish Administrative System. Simplifications in Polish Administrative Procedure</w:t>
      </w:r>
    </w:p>
    <w:p w:rsidR="00396A82" w:rsidRPr="00396A82" w:rsidRDefault="00396A82" w:rsidP="00396A82">
      <w:pPr>
        <w:rPr>
          <w:rFonts w:ascii="Times New Roman" w:eastAsia="Times New Roman" w:hAnsi="Times New Roman"/>
          <w:b/>
          <w:highlight w:val="lightGray"/>
          <w:lang w:val="en-US"/>
        </w:rPr>
      </w:pPr>
    </w:p>
    <w:p w:rsidR="00396A82" w:rsidRPr="00396A82" w:rsidRDefault="00396A82" w:rsidP="00396A82">
      <w:pPr>
        <w:rPr>
          <w:rFonts w:ascii="Times New Roman" w:eastAsia="Times New Roman" w:hAnsi="Times New Roman"/>
          <w:lang w:val="en-US"/>
        </w:rPr>
      </w:pPr>
      <w:r w:rsidRPr="00396A82">
        <w:rPr>
          <w:rFonts w:ascii="Times New Roman" w:eastAsia="Times New Roman" w:hAnsi="Times New Roman"/>
          <w:b/>
          <w:highlight w:val="lightGray"/>
          <w:lang w:val="en-US"/>
        </w:rPr>
        <w:t>Seminar 2.</w:t>
      </w:r>
      <w:r w:rsidRPr="00396A82">
        <w:rPr>
          <w:rFonts w:ascii="Times New Roman" w:eastAsia="Times New Roman" w:hAnsi="Times New Roman"/>
          <w:b/>
          <w:lang w:val="en-US"/>
        </w:rPr>
        <w:t xml:space="preserve"> (March 20)</w:t>
      </w:r>
      <w:r w:rsidRPr="00396A82">
        <w:rPr>
          <w:rFonts w:ascii="Times New Roman" w:eastAsia="Times New Roman" w:hAnsi="Times New Roman"/>
          <w:lang w:val="en-US"/>
        </w:rPr>
        <w:t xml:space="preserve"> – Introduction to the Slovak Administrative System. Recent changes in order to simplify administrative procedures</w:t>
      </w:r>
    </w:p>
    <w:p w:rsidR="00396A82" w:rsidRPr="00396A82" w:rsidRDefault="00396A82" w:rsidP="00396A82">
      <w:pPr>
        <w:rPr>
          <w:rFonts w:ascii="Times New Roman" w:eastAsia="Times New Roman" w:hAnsi="Times New Roman"/>
          <w:b/>
          <w:highlight w:val="lightGray"/>
          <w:lang w:val="en-US"/>
        </w:rPr>
      </w:pPr>
    </w:p>
    <w:p w:rsidR="00396A82" w:rsidRPr="00396A82" w:rsidRDefault="00396A82" w:rsidP="00396A82">
      <w:pPr>
        <w:rPr>
          <w:rFonts w:ascii="Times New Roman" w:eastAsia="Times New Roman" w:hAnsi="Times New Roman"/>
          <w:lang w:val="en-US"/>
        </w:rPr>
      </w:pPr>
      <w:r w:rsidRPr="00396A82">
        <w:rPr>
          <w:rFonts w:ascii="Times New Roman" w:eastAsia="Times New Roman" w:hAnsi="Times New Roman"/>
          <w:b/>
          <w:highlight w:val="lightGray"/>
          <w:lang w:val="en-US"/>
        </w:rPr>
        <w:t>Seminar 3.</w:t>
      </w:r>
      <w:r w:rsidRPr="00396A82">
        <w:rPr>
          <w:rFonts w:ascii="Times New Roman" w:eastAsia="Times New Roman" w:hAnsi="Times New Roman"/>
          <w:b/>
          <w:lang w:val="en-US"/>
        </w:rPr>
        <w:t xml:space="preserve"> (April 3)</w:t>
      </w:r>
      <w:r w:rsidRPr="00396A82">
        <w:rPr>
          <w:rFonts w:ascii="Times New Roman" w:eastAsia="Times New Roman" w:hAnsi="Times New Roman"/>
          <w:lang w:val="en-US"/>
        </w:rPr>
        <w:t xml:space="preserve"> – Introduction to Hungarian Administrative Law. Simplifications of the new procedural Act of 2016</w:t>
      </w:r>
    </w:p>
    <w:p w:rsidR="00396A82" w:rsidRPr="00396A82" w:rsidRDefault="00396A82" w:rsidP="00396A82">
      <w:pPr>
        <w:rPr>
          <w:rFonts w:ascii="Times New Roman" w:eastAsia="Times New Roman" w:hAnsi="Times New Roman"/>
          <w:b/>
          <w:highlight w:val="lightGray"/>
          <w:lang w:val="en-US"/>
        </w:rPr>
      </w:pPr>
    </w:p>
    <w:p w:rsidR="00396A82" w:rsidRPr="00396A82" w:rsidRDefault="00396A82" w:rsidP="00396A82">
      <w:pPr>
        <w:rPr>
          <w:rFonts w:ascii="Times New Roman" w:eastAsia="Times New Roman" w:hAnsi="Times New Roman"/>
          <w:lang w:val="en-US"/>
        </w:rPr>
      </w:pPr>
      <w:r w:rsidRPr="00396A82">
        <w:rPr>
          <w:rFonts w:ascii="Times New Roman" w:eastAsia="Times New Roman" w:hAnsi="Times New Roman"/>
          <w:b/>
          <w:highlight w:val="lightGray"/>
          <w:lang w:val="en-US"/>
        </w:rPr>
        <w:t>Seminar 4.</w:t>
      </w:r>
      <w:r w:rsidRPr="00396A82">
        <w:rPr>
          <w:rFonts w:ascii="Times New Roman" w:eastAsia="Times New Roman" w:hAnsi="Times New Roman"/>
          <w:b/>
          <w:lang w:val="en-US"/>
        </w:rPr>
        <w:t xml:space="preserve"> (April 17)</w:t>
      </w:r>
      <w:r w:rsidRPr="00396A82">
        <w:rPr>
          <w:rFonts w:ascii="Times New Roman" w:eastAsia="Times New Roman" w:hAnsi="Times New Roman"/>
          <w:lang w:val="en-US"/>
        </w:rPr>
        <w:t xml:space="preserve"> – Introduction to Czech Administrative System. Simplifications</w:t>
      </w:r>
    </w:p>
    <w:p w:rsidR="00396A82" w:rsidRPr="00396A82" w:rsidRDefault="00396A82" w:rsidP="00396A82">
      <w:pPr>
        <w:rPr>
          <w:rFonts w:ascii="Times New Roman" w:eastAsia="Times New Roman" w:hAnsi="Times New Roman"/>
          <w:lang w:val="en-US"/>
        </w:rPr>
      </w:pPr>
    </w:p>
    <w:p w:rsidR="00396A82" w:rsidRDefault="00396A82" w:rsidP="00396A82">
      <w:pPr>
        <w:rPr>
          <w:rFonts w:ascii="Times New Roman" w:eastAsia="Times New Roman" w:hAnsi="Times New Roman"/>
          <w:lang w:val="en-US"/>
        </w:rPr>
      </w:pPr>
      <w:r w:rsidRPr="00396A82">
        <w:rPr>
          <w:rFonts w:ascii="Times New Roman" w:eastAsia="Times New Roman" w:hAnsi="Times New Roman"/>
          <w:b/>
          <w:highlight w:val="lightGray"/>
          <w:lang w:val="en-US"/>
        </w:rPr>
        <w:t>Seminar5</w:t>
      </w:r>
      <w:r w:rsidRPr="00396A82">
        <w:rPr>
          <w:rFonts w:ascii="Times New Roman" w:eastAsia="Times New Roman" w:hAnsi="Times New Roman"/>
          <w:b/>
          <w:lang w:val="en-US"/>
        </w:rPr>
        <w:t>. Oral</w:t>
      </w:r>
      <w:r w:rsidRPr="00396A82">
        <w:rPr>
          <w:rFonts w:ascii="Times New Roman" w:eastAsia="Times New Roman" w:hAnsi="Times New Roman"/>
          <w:lang w:val="en-US"/>
        </w:rPr>
        <w:t xml:space="preserve"> </w:t>
      </w:r>
      <w:r w:rsidRPr="00396A82">
        <w:rPr>
          <w:rFonts w:ascii="Times New Roman" w:eastAsia="Times New Roman" w:hAnsi="Times New Roman"/>
          <w:b/>
          <w:lang w:val="en-US"/>
        </w:rPr>
        <w:t xml:space="preserve">Exam and Wrap up (May 15 </w:t>
      </w:r>
      <w:r w:rsidRPr="00396A82">
        <w:rPr>
          <w:rFonts w:ascii="Times New Roman" w:eastAsia="Times New Roman" w:hAnsi="Times New Roman"/>
          <w:lang w:val="en-US"/>
        </w:rPr>
        <w:t>or another date to be fixed with course participants, 2 hours)</w:t>
      </w:r>
    </w:p>
    <w:p w:rsidR="00396A82" w:rsidRDefault="00396A82" w:rsidP="00396A82">
      <w:pPr>
        <w:rPr>
          <w:rFonts w:ascii="Times New Roman" w:eastAsia="Times New Roman" w:hAnsi="Times New Roman"/>
          <w:lang w:val="en-US"/>
        </w:rPr>
      </w:pPr>
    </w:p>
    <w:p w:rsidR="00396A82" w:rsidRPr="00396A82" w:rsidRDefault="00396A82" w:rsidP="00396A82">
      <w:pPr>
        <w:spacing w:after="120" w:line="320" w:lineRule="exact"/>
        <w:jc w:val="both"/>
        <w:rPr>
          <w:rFonts w:ascii="Times New Roman" w:eastAsia="Times New Roman" w:hAnsi="Times New Roman"/>
          <w:b/>
          <w:lang w:val="en-US"/>
        </w:rPr>
      </w:pPr>
      <w:r w:rsidRPr="00396A82">
        <w:rPr>
          <w:rFonts w:ascii="Times New Roman" w:eastAsia="Times New Roman" w:hAnsi="Times New Roman"/>
          <w:b/>
          <w:lang w:val="en-US"/>
        </w:rPr>
        <w:t>Assessment</w:t>
      </w:r>
      <w:bookmarkStart w:id="0" w:name="_GoBack"/>
      <w:bookmarkEnd w:id="0"/>
    </w:p>
    <w:p w:rsidR="00396A82" w:rsidRPr="00396A82" w:rsidRDefault="00396A82" w:rsidP="00396A82">
      <w:pPr>
        <w:spacing w:after="120" w:line="320" w:lineRule="exact"/>
        <w:jc w:val="both"/>
        <w:rPr>
          <w:rFonts w:ascii="Times New Roman" w:eastAsia="Times New Roman" w:hAnsi="Times New Roman"/>
          <w:lang w:val="en-US"/>
        </w:rPr>
      </w:pPr>
      <w:r w:rsidRPr="00396A82">
        <w:rPr>
          <w:rFonts w:ascii="Times New Roman" w:eastAsia="Times New Roman" w:hAnsi="Times New Roman"/>
          <w:lang w:val="en-US"/>
        </w:rPr>
        <w:t xml:space="preserve">Students are expected to regularly attend the classes and not to be absent from more than one class. Students who are to receive grades are required to prepare an essay on a specific field connected to the lectures during the term, mostly a comparative analysis of an institutions of the student’s native administrative procedural system (Deadline May 8). Additionally presentation of the findings of the essay in an oral exam at the end of the term (date to be fixed together with students with respect to other exams). </w:t>
      </w:r>
    </w:p>
    <w:p w:rsidR="00396A82" w:rsidRPr="00396A82" w:rsidRDefault="00396A82" w:rsidP="00396A82">
      <w:pPr>
        <w:rPr>
          <w:rFonts w:ascii="Times New Roman" w:eastAsia="Times New Roman" w:hAnsi="Times New Roman"/>
          <w:b/>
          <w:lang w:val="en-US"/>
        </w:rPr>
      </w:pPr>
    </w:p>
    <w:p w:rsidR="00361804" w:rsidRPr="00396A82" w:rsidRDefault="00361804" w:rsidP="00294334">
      <w:pPr>
        <w:jc w:val="both"/>
        <w:rPr>
          <w:rFonts w:ascii="Times New Roman" w:hAnsi="Times New Roman"/>
          <w:b/>
        </w:rPr>
      </w:pPr>
    </w:p>
    <w:sectPr w:rsidR="00361804" w:rsidRPr="00396A82" w:rsidSect="008958C2">
      <w:headerReference w:type="default" r:id="rId7"/>
      <w:footerReference w:type="default" r:id="rId8"/>
      <w:headerReference w:type="first" r:id="rId9"/>
      <w:footerReference w:type="first" r:id="rId10"/>
      <w:pgSz w:w="11900" w:h="16840"/>
      <w:pgMar w:top="1959" w:right="1268" w:bottom="851" w:left="1418" w:header="426" w:footer="3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F6" w:rsidRDefault="009826F6" w:rsidP="00B267E0">
      <w:r>
        <w:separator/>
      </w:r>
    </w:p>
  </w:endnote>
  <w:endnote w:type="continuationSeparator" w:id="0">
    <w:p w:rsidR="009826F6" w:rsidRDefault="009826F6"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5C22AF" w:rsidRDefault="00E26E2D" w:rsidP="005C22AF">
    <w:pPr>
      <w:pStyle w:val="llb"/>
      <w:jc w:val="both"/>
      <w:rPr>
        <w:rFonts w:ascii="Garamond" w:hAnsi="Garamond"/>
        <w:color w:val="3B3C3B"/>
        <w:sz w:val="16"/>
        <w:szCs w:val="16"/>
      </w:rPr>
    </w:pPr>
    <w:r w:rsidRPr="005C22AF">
      <w:rPr>
        <w:rFonts w:ascii="Garamond" w:hAnsi="Garamond"/>
        <w:color w:val="3B3C3B"/>
        <w:sz w:val="16"/>
        <w:szCs w:val="16"/>
        <w:lang w:val="en-GB"/>
      </w:rPr>
      <w:t xml:space="preserve">Eötvös Loránd </w:t>
    </w:r>
    <w:proofErr w:type="spellStart"/>
    <w:r w:rsidRPr="005C22AF">
      <w:rPr>
        <w:rFonts w:ascii="Garamond" w:hAnsi="Garamond"/>
        <w:color w:val="3B3C3B"/>
        <w:sz w:val="16"/>
        <w:szCs w:val="16"/>
        <w:lang w:val="en-GB"/>
      </w:rPr>
      <w:t>Tudományegyetem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Állam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és</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Jogtudományi</w:t>
    </w:r>
    <w:proofErr w:type="spellEnd"/>
    <w:r w:rsidRPr="005C22AF">
      <w:rPr>
        <w:rFonts w:ascii="Garamond" w:hAnsi="Garamond"/>
        <w:color w:val="3B3C3B"/>
        <w:sz w:val="16"/>
        <w:szCs w:val="16"/>
        <w:lang w:val="en-GB"/>
      </w:rPr>
      <w:t xml:space="preserve"> </w:t>
    </w:r>
    <w:proofErr w:type="spellStart"/>
    <w:proofErr w:type="gramStart"/>
    <w:r w:rsidRPr="005C22AF">
      <w:rPr>
        <w:rFonts w:ascii="Garamond" w:hAnsi="Garamond"/>
        <w:color w:val="3B3C3B"/>
        <w:sz w:val="16"/>
        <w:szCs w:val="16"/>
        <w:lang w:val="en-GB"/>
      </w:rPr>
      <w:t>Kar</w:t>
    </w:r>
    <w:proofErr w:type="spellEnd"/>
    <w:r w:rsidRPr="005C22AF">
      <w:rPr>
        <w:rFonts w:ascii="Garamond" w:hAnsi="Garamond"/>
        <w:color w:val="3B3C3B"/>
        <w:sz w:val="16"/>
        <w:szCs w:val="16"/>
        <w:lang w:val="en-GB"/>
      </w:rPr>
      <w:t xml:space="preserve">  1053</w:t>
    </w:r>
    <w:proofErr w:type="gramEnd"/>
    <w:r w:rsidRPr="005C22AF">
      <w:rPr>
        <w:rFonts w:ascii="Garamond" w:hAnsi="Garamond"/>
        <w:color w:val="3B3C3B"/>
        <w:sz w:val="16"/>
        <w:szCs w:val="16"/>
        <w:lang w:val="en-GB"/>
      </w:rPr>
      <w:t xml:space="preserve"> Budapest, </w:t>
    </w:r>
    <w:proofErr w:type="spellStart"/>
    <w:r w:rsidRPr="005C22AF">
      <w:rPr>
        <w:rFonts w:ascii="Garamond" w:hAnsi="Garamond"/>
        <w:color w:val="3B3C3B"/>
        <w:sz w:val="16"/>
        <w:szCs w:val="16"/>
        <w:lang w:val="en-GB"/>
      </w:rPr>
      <w:t>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tér</w:t>
    </w:r>
    <w:proofErr w:type="spellEnd"/>
    <w:r w:rsidRPr="005C22AF">
      <w:rPr>
        <w:rFonts w:ascii="Garamond" w:hAnsi="Garamond"/>
        <w:color w:val="3B3C3B"/>
        <w:sz w:val="16"/>
        <w:szCs w:val="16"/>
        <w:lang w:val="en-GB"/>
      </w:rPr>
      <w:t xml:space="preserve"> 1-3. </w:t>
    </w:r>
    <w:proofErr w:type="spellStart"/>
    <w:proofErr w:type="gramStart"/>
    <w:r w:rsidRPr="005C22AF">
      <w:rPr>
        <w:rFonts w:ascii="Garamond" w:hAnsi="Garamond"/>
        <w:color w:val="3B3C3B"/>
        <w:sz w:val="16"/>
        <w:szCs w:val="16"/>
        <w:lang w:val="en-GB"/>
      </w:rPr>
      <w:t>tel</w:t>
    </w:r>
    <w:proofErr w:type="spellEnd"/>
    <w:proofErr w:type="gramEnd"/>
    <w:r w:rsidRPr="005C22AF">
      <w:rPr>
        <w:rFonts w:ascii="Garamond" w:hAnsi="Garamond"/>
        <w:color w:val="3B3C3B"/>
        <w:sz w:val="16"/>
        <w:szCs w:val="16"/>
        <w:lang w:val="en-GB"/>
      </w:rPr>
      <w:t xml:space="preserve"> +36 1 411 6500  </w:t>
    </w:r>
    <w:hyperlink r:id="rId1" w:history="1">
      <w:r w:rsidRPr="005C22AF">
        <w:rPr>
          <w:rStyle w:val="Hiperhivatkozs"/>
          <w:rFonts w:ascii="Garamond" w:hAnsi="Garamond"/>
          <w:color w:val="3B3C3B"/>
          <w:sz w:val="16"/>
          <w:szCs w:val="16"/>
          <w:u w:val="none"/>
          <w:lang w:val="en-GB"/>
        </w:rPr>
        <w:t>www.ajk.elte.hu</w:t>
      </w:r>
    </w:hyperlink>
    <w:r>
      <w:rPr>
        <w:rStyle w:val="Hiperhivatkozs"/>
        <w:rFonts w:ascii="Garamond" w:hAnsi="Garamond"/>
        <w:color w:val="3B3C3B"/>
        <w:sz w:val="16"/>
        <w:szCs w:val="16"/>
        <w:u w:val="none"/>
        <w:lang w:val="en-GB"/>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8B5240" w:rsidRDefault="00E26E2D" w:rsidP="005C22AF">
    <w:pPr>
      <w:pStyle w:val="llb"/>
      <w:jc w:val="both"/>
      <w:rPr>
        <w:rFonts w:ascii="Garamond" w:hAnsi="Garamond"/>
        <w:color w:val="3B3C3B"/>
        <w:sz w:val="16"/>
        <w:szCs w:val="16"/>
      </w:rPr>
    </w:pPr>
    <w:r w:rsidRPr="008B5240">
      <w:rPr>
        <w:rFonts w:ascii="Garamond" w:hAnsi="Garamond"/>
        <w:color w:val="3B3C3B"/>
        <w:sz w:val="16"/>
        <w:szCs w:val="16"/>
      </w:rPr>
      <w:t xml:space="preserve">Eötvös Loránd Tudományegyetem Állam- és Jogtudományi </w:t>
    </w:r>
    <w:proofErr w:type="gramStart"/>
    <w:r w:rsidRPr="008B5240">
      <w:rPr>
        <w:rFonts w:ascii="Garamond" w:hAnsi="Garamond"/>
        <w:color w:val="3B3C3B"/>
        <w:sz w:val="16"/>
        <w:szCs w:val="16"/>
      </w:rPr>
      <w:t>Kar  1053</w:t>
    </w:r>
    <w:proofErr w:type="gramEnd"/>
    <w:r w:rsidRPr="008B5240">
      <w:rPr>
        <w:rFonts w:ascii="Garamond" w:hAnsi="Garamond"/>
        <w:color w:val="3B3C3B"/>
        <w:sz w:val="16"/>
        <w:szCs w:val="16"/>
      </w:rPr>
      <w:t xml:space="preserve"> Budapest, Egyetem tér 1-3. tel +36 1 411 6500  </w:t>
    </w:r>
    <w:hyperlink r:id="rId1" w:history="1">
      <w:r w:rsidRPr="008B5240">
        <w:rPr>
          <w:rStyle w:val="Hiperhivatkozs"/>
          <w:rFonts w:ascii="Garamond" w:hAnsi="Garamond"/>
          <w:color w:val="3B3C3B"/>
          <w:sz w:val="16"/>
          <w:szCs w:val="16"/>
          <w:u w:val="none"/>
        </w:rPr>
        <w:t>www.ajk.elte.hu</w:t>
      </w:r>
    </w:hyperlink>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F6" w:rsidRDefault="009826F6" w:rsidP="00B267E0">
      <w:r>
        <w:separator/>
      </w:r>
    </w:p>
  </w:footnote>
  <w:footnote w:type="continuationSeparator" w:id="0">
    <w:p w:rsidR="009826F6" w:rsidRDefault="009826F6"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CF0826" w:rsidRDefault="00AA51F3" w:rsidP="00A15360">
    <w:pPr>
      <w:pStyle w:val="BasicParagraph"/>
      <w:rPr>
        <w:rFonts w:ascii="Times New Roman" w:hAnsi="Times New Roman"/>
      </w:rPr>
    </w:pPr>
    <w:r>
      <w:rPr>
        <w:rFonts w:ascii="Times New Roman" w:hAnsi="Times New Roman"/>
        <w:noProof/>
        <w:lang w:eastAsia="hu-HU"/>
      </w:rPr>
      <w:drawing>
        <wp:inline distT="0" distB="0" distL="0" distR="0">
          <wp:extent cx="1940560" cy="894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894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A375A3" w:rsidRDefault="00AA51F3" w:rsidP="0093764C">
    <w:pPr>
      <w:pStyle w:val="lfej"/>
      <w:tabs>
        <w:tab w:val="left" w:pos="142"/>
      </w:tabs>
    </w:pPr>
    <w:r>
      <w:rPr>
        <w:noProof/>
        <w:lang w:eastAsia="hu-HU"/>
      </w:rPr>
      <w:drawing>
        <wp:anchor distT="0" distB="0" distL="114300" distR="114300" simplePos="0" relativeHeight="251657728" behindDoc="0" locked="0" layoutInCell="1" allowOverlap="1">
          <wp:simplePos x="0" y="0"/>
          <wp:positionH relativeFrom="column">
            <wp:posOffset>-321310</wp:posOffset>
          </wp:positionH>
          <wp:positionV relativeFrom="paragraph">
            <wp:posOffset>-3810</wp:posOffset>
          </wp:positionV>
          <wp:extent cx="2992120" cy="822960"/>
          <wp:effectExtent l="0" t="0" r="0" b="0"/>
          <wp:wrapTight wrapText="bothSides">
            <wp:wrapPolygon edited="0">
              <wp:start x="2338" y="500"/>
              <wp:lineTo x="1375" y="2000"/>
              <wp:lineTo x="138" y="7000"/>
              <wp:lineTo x="550" y="17000"/>
              <wp:lineTo x="1925" y="20500"/>
              <wp:lineTo x="2200" y="20500"/>
              <wp:lineTo x="4263" y="20500"/>
              <wp:lineTo x="5363" y="20500"/>
              <wp:lineTo x="21591" y="17000"/>
              <wp:lineTo x="21591" y="13000"/>
              <wp:lineTo x="21453" y="11000"/>
              <wp:lineTo x="20903" y="8500"/>
              <wp:lineTo x="21453" y="4500"/>
              <wp:lineTo x="17328" y="2500"/>
              <wp:lineTo x="4126" y="500"/>
              <wp:lineTo x="2338" y="50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822960"/>
                  </a:xfrm>
                  <a:prstGeom prst="rect">
                    <a:avLst/>
                  </a:prstGeom>
                  <a:noFill/>
                  <a:ln>
                    <a:noFill/>
                  </a:ln>
                </pic:spPr>
              </pic:pic>
            </a:graphicData>
          </a:graphic>
        </wp:anchor>
      </w:drawing>
    </w:r>
  </w:p>
  <w:p w:rsidR="0093764C" w:rsidRPr="00C93D42" w:rsidRDefault="00E26E2D" w:rsidP="00361804">
    <w:pPr>
      <w:pStyle w:val="BasicParagraph"/>
      <w:tabs>
        <w:tab w:val="right" w:pos="8497"/>
      </w:tabs>
      <w:jc w:val="right"/>
      <w:rPr>
        <w:rFonts w:ascii="Garamond" w:hAnsi="Garamond" w:cs="GaramondLightHun"/>
        <w:color w:val="3B3C3B"/>
        <w:sz w:val="16"/>
        <w:szCs w:val="16"/>
      </w:rPr>
    </w:pPr>
    <w:r>
      <w:rPr>
        <w:rFonts w:ascii="GaramondBookHun" w:hAnsi="GaramondBookHun" w:cs="GaramondBoldHun"/>
        <w:b/>
        <w:bCs/>
        <w:color w:val="002626"/>
        <w:sz w:val="16"/>
        <w:szCs w:val="16"/>
        <w:lang w:val="en-GB"/>
      </w:rPr>
      <w:tab/>
    </w:r>
  </w:p>
  <w:p w:rsidR="0093764C" w:rsidRPr="00C93D42" w:rsidRDefault="009826F6">
    <w:pPr>
      <w:pStyle w:val="lfej"/>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44"/>
    <w:rsid w:val="00020DF6"/>
    <w:rsid w:val="000268EE"/>
    <w:rsid w:val="0006343F"/>
    <w:rsid w:val="0009743E"/>
    <w:rsid w:val="000C5347"/>
    <w:rsid w:val="000D5ED0"/>
    <w:rsid w:val="00147969"/>
    <w:rsid w:val="001656E3"/>
    <w:rsid w:val="001964F6"/>
    <w:rsid w:val="001E5E2D"/>
    <w:rsid w:val="001F7DC0"/>
    <w:rsid w:val="00202F7D"/>
    <w:rsid w:val="0021124B"/>
    <w:rsid w:val="00216087"/>
    <w:rsid w:val="00223741"/>
    <w:rsid w:val="00250565"/>
    <w:rsid w:val="00251345"/>
    <w:rsid w:val="00265B8F"/>
    <w:rsid w:val="00287601"/>
    <w:rsid w:val="00294334"/>
    <w:rsid w:val="002A26A7"/>
    <w:rsid w:val="002B4EEE"/>
    <w:rsid w:val="002C2BE2"/>
    <w:rsid w:val="00305613"/>
    <w:rsid w:val="0032793C"/>
    <w:rsid w:val="00335BBD"/>
    <w:rsid w:val="00344225"/>
    <w:rsid w:val="00361804"/>
    <w:rsid w:val="00363F11"/>
    <w:rsid w:val="00375C32"/>
    <w:rsid w:val="00393DB7"/>
    <w:rsid w:val="00396A82"/>
    <w:rsid w:val="003F2C45"/>
    <w:rsid w:val="003F5C75"/>
    <w:rsid w:val="004201EC"/>
    <w:rsid w:val="00423F6E"/>
    <w:rsid w:val="00494AA1"/>
    <w:rsid w:val="004D6AEB"/>
    <w:rsid w:val="00522279"/>
    <w:rsid w:val="005326C5"/>
    <w:rsid w:val="0054757A"/>
    <w:rsid w:val="005B1C0D"/>
    <w:rsid w:val="005F6682"/>
    <w:rsid w:val="00611EA1"/>
    <w:rsid w:val="00636217"/>
    <w:rsid w:val="0066596C"/>
    <w:rsid w:val="0067715E"/>
    <w:rsid w:val="0068287E"/>
    <w:rsid w:val="00684FAC"/>
    <w:rsid w:val="00691065"/>
    <w:rsid w:val="00692B24"/>
    <w:rsid w:val="006F5951"/>
    <w:rsid w:val="00706376"/>
    <w:rsid w:val="007065EC"/>
    <w:rsid w:val="0073199D"/>
    <w:rsid w:val="007E16CE"/>
    <w:rsid w:val="007F5C4A"/>
    <w:rsid w:val="0081693E"/>
    <w:rsid w:val="00860594"/>
    <w:rsid w:val="008826CF"/>
    <w:rsid w:val="00892C88"/>
    <w:rsid w:val="008958C2"/>
    <w:rsid w:val="008A0569"/>
    <w:rsid w:val="008A2725"/>
    <w:rsid w:val="008B2A93"/>
    <w:rsid w:val="008B5240"/>
    <w:rsid w:val="008C7B49"/>
    <w:rsid w:val="00903C6D"/>
    <w:rsid w:val="00932A21"/>
    <w:rsid w:val="009826F6"/>
    <w:rsid w:val="009E09F1"/>
    <w:rsid w:val="009F0C2E"/>
    <w:rsid w:val="00A33B77"/>
    <w:rsid w:val="00A367B8"/>
    <w:rsid w:val="00A57FD8"/>
    <w:rsid w:val="00AA51F3"/>
    <w:rsid w:val="00AB2C80"/>
    <w:rsid w:val="00AC7366"/>
    <w:rsid w:val="00AE60FB"/>
    <w:rsid w:val="00B30730"/>
    <w:rsid w:val="00B54176"/>
    <w:rsid w:val="00B765C4"/>
    <w:rsid w:val="00B82CF9"/>
    <w:rsid w:val="00BA501D"/>
    <w:rsid w:val="00BF306F"/>
    <w:rsid w:val="00C0024D"/>
    <w:rsid w:val="00C24855"/>
    <w:rsid w:val="00C36C22"/>
    <w:rsid w:val="00C93D42"/>
    <w:rsid w:val="00CC1E42"/>
    <w:rsid w:val="00CE0F70"/>
    <w:rsid w:val="00CF24C9"/>
    <w:rsid w:val="00CF71E3"/>
    <w:rsid w:val="00D428E3"/>
    <w:rsid w:val="00D907C3"/>
    <w:rsid w:val="00DF6892"/>
    <w:rsid w:val="00E14C4E"/>
    <w:rsid w:val="00E20C62"/>
    <w:rsid w:val="00E222DA"/>
    <w:rsid w:val="00E26E2D"/>
    <w:rsid w:val="00E37E4D"/>
    <w:rsid w:val="00EA203E"/>
    <w:rsid w:val="00EA35BE"/>
    <w:rsid w:val="00F30CC5"/>
    <w:rsid w:val="00F30EDF"/>
    <w:rsid w:val="00F859CA"/>
    <w:rsid w:val="00FB4294"/>
    <w:rsid w:val="00FC4244"/>
    <w:rsid w:val="00FE55C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E36E9C4-8B36-4EE1-80F8-CA31489E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0BC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semiHidden/>
    <w:unhideWhenUsed/>
    <w:rsid w:val="00E222DA"/>
    <w:pPr>
      <w:spacing w:before="100" w:beforeAutospacing="1" w:after="100" w:afterAutospacing="1"/>
    </w:pPr>
    <w:rPr>
      <w:rFonts w:ascii="Times New Roman" w:eastAsia="Times New Roman" w:hAnsi="Times New Roman"/>
      <w:lang w:eastAsia="hu-HU"/>
    </w:rPr>
  </w:style>
  <w:style w:type="character" w:styleId="Kiemels2">
    <w:name w:val="Strong"/>
    <w:basedOn w:val="Bekezdsalapbettpusa"/>
    <w:uiPriority w:val="22"/>
    <w:qFormat/>
    <w:rsid w:val="00E222DA"/>
    <w:rPr>
      <w:b/>
      <w:bCs/>
    </w:rPr>
  </w:style>
  <w:style w:type="paragraph" w:styleId="Csakszveg">
    <w:name w:val="Plain Text"/>
    <w:basedOn w:val="Norml"/>
    <w:link w:val="CsakszvegChar"/>
    <w:uiPriority w:val="99"/>
    <w:semiHidden/>
    <w:unhideWhenUsed/>
    <w:rsid w:val="00F30CC5"/>
    <w:rPr>
      <w:rFonts w:ascii="Calibri" w:eastAsiaTheme="minorHAnsi" w:hAnsi="Calibri" w:cstheme="minorBidi"/>
      <w:sz w:val="22"/>
      <w:szCs w:val="21"/>
    </w:rPr>
  </w:style>
  <w:style w:type="character" w:customStyle="1" w:styleId="CsakszvegChar">
    <w:name w:val="Csak szöveg Char"/>
    <w:basedOn w:val="Bekezdsalapbettpusa"/>
    <w:link w:val="Csakszveg"/>
    <w:uiPriority w:val="99"/>
    <w:semiHidden/>
    <w:rsid w:val="00F30CC5"/>
    <w:rPr>
      <w:rFonts w:ascii="Calibri" w:eastAsiaTheme="minorHAnsi" w:hAnsi="Calibri" w:cstheme="minorBidi"/>
      <w:sz w:val="22"/>
      <w:szCs w:val="21"/>
      <w:lang w:val="hu-HU"/>
    </w:rPr>
  </w:style>
  <w:style w:type="paragraph" w:styleId="Lbjegyzetszveg">
    <w:name w:val="footnote text"/>
    <w:basedOn w:val="Norml"/>
    <w:link w:val="LbjegyzetszvegChar"/>
    <w:semiHidden/>
    <w:rsid w:val="00F30CC5"/>
    <w:pPr>
      <w:spacing w:line="360" w:lineRule="auto"/>
      <w:jc w:val="both"/>
    </w:pPr>
    <w:rPr>
      <w:rFonts w:ascii="Times New Roman" w:eastAsia="Times New Roman" w:hAnsi="Times New Roman"/>
      <w:szCs w:val="20"/>
      <w:lang w:val="en-GB"/>
    </w:rPr>
  </w:style>
  <w:style w:type="character" w:customStyle="1" w:styleId="LbjegyzetszvegChar">
    <w:name w:val="Lábjegyzetszöveg Char"/>
    <w:basedOn w:val="Bekezdsalapbettpusa"/>
    <w:link w:val="Lbjegyzetszveg"/>
    <w:semiHidden/>
    <w:rsid w:val="00F30CC5"/>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5014">
      <w:bodyDiv w:val="1"/>
      <w:marLeft w:val="0"/>
      <w:marRight w:val="0"/>
      <w:marTop w:val="0"/>
      <w:marBottom w:val="0"/>
      <w:divBdr>
        <w:top w:val="none" w:sz="0" w:space="0" w:color="auto"/>
        <w:left w:val="none" w:sz="0" w:space="0" w:color="auto"/>
        <w:bottom w:val="none" w:sz="0" w:space="0" w:color="auto"/>
        <w:right w:val="none" w:sz="0" w:space="0" w:color="auto"/>
      </w:divBdr>
    </w:div>
    <w:div w:id="733312628">
      <w:bodyDiv w:val="1"/>
      <w:marLeft w:val="0"/>
      <w:marRight w:val="0"/>
      <w:marTop w:val="0"/>
      <w:marBottom w:val="0"/>
      <w:divBdr>
        <w:top w:val="none" w:sz="0" w:space="0" w:color="auto"/>
        <w:left w:val="none" w:sz="0" w:space="0" w:color="auto"/>
        <w:bottom w:val="none" w:sz="0" w:space="0" w:color="auto"/>
        <w:right w:val="none" w:sz="0" w:space="0" w:color="auto"/>
      </w:divBdr>
    </w:div>
    <w:div w:id="988897013">
      <w:bodyDiv w:val="1"/>
      <w:marLeft w:val="0"/>
      <w:marRight w:val="0"/>
      <w:marTop w:val="0"/>
      <w:marBottom w:val="0"/>
      <w:divBdr>
        <w:top w:val="none" w:sz="0" w:space="0" w:color="auto"/>
        <w:left w:val="none" w:sz="0" w:space="0" w:color="auto"/>
        <w:bottom w:val="none" w:sz="0" w:space="0" w:color="auto"/>
        <w:right w:val="none" w:sz="0" w:space="0" w:color="auto"/>
      </w:divBdr>
    </w:div>
    <w:div w:id="1519780638">
      <w:bodyDiv w:val="1"/>
      <w:marLeft w:val="0"/>
      <w:marRight w:val="0"/>
      <w:marTop w:val="0"/>
      <w:marBottom w:val="0"/>
      <w:divBdr>
        <w:top w:val="none" w:sz="0" w:space="0" w:color="auto"/>
        <w:left w:val="none" w:sz="0" w:space="0" w:color="auto"/>
        <w:bottom w:val="none" w:sz="0" w:space="0" w:color="auto"/>
        <w:right w:val="none" w:sz="0" w:space="0" w:color="auto"/>
      </w:divBdr>
    </w:div>
    <w:div w:id="1825469362">
      <w:bodyDiv w:val="1"/>
      <w:marLeft w:val="0"/>
      <w:marRight w:val="0"/>
      <w:marTop w:val="0"/>
      <w:marBottom w:val="0"/>
      <w:divBdr>
        <w:top w:val="none" w:sz="0" w:space="0" w:color="auto"/>
        <w:left w:val="none" w:sz="0" w:space="0" w:color="auto"/>
        <w:bottom w:val="none" w:sz="0" w:space="0" w:color="auto"/>
        <w:right w:val="none" w:sz="0" w:space="0" w:color="auto"/>
      </w:divBdr>
    </w:div>
    <w:div w:id="1998999650">
      <w:bodyDiv w:val="1"/>
      <w:marLeft w:val="0"/>
      <w:marRight w:val="0"/>
      <w:marTop w:val="0"/>
      <w:marBottom w:val="0"/>
      <w:divBdr>
        <w:top w:val="none" w:sz="0" w:space="0" w:color="auto"/>
        <w:left w:val="none" w:sz="0" w:space="0" w:color="auto"/>
        <w:bottom w:val="none" w:sz="0" w:space="0" w:color="auto"/>
        <w:right w:val="none" w:sz="0" w:space="0" w:color="auto"/>
      </w:divBdr>
    </w:div>
    <w:div w:id="213209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zsnyaik@ajk.elte.h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zianlilla\AppData\Roaming\Microsoft\Templates\Tanulm&#225;nyi%20Hivatal%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Tanulmányi Hivatal - Fejléces papír</Template>
  <TotalTime>4</TotalTime>
  <Pages>2</Pages>
  <Words>513</Words>
  <Characters>3541</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4046</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Udovecz Ákos</cp:lastModifiedBy>
  <cp:revision>2</cp:revision>
  <cp:lastPrinted>2015-07-03T10:18:00Z</cp:lastPrinted>
  <dcterms:created xsi:type="dcterms:W3CDTF">2019-12-02T14:01:00Z</dcterms:created>
  <dcterms:modified xsi:type="dcterms:W3CDTF">2019-12-02T14:01:00Z</dcterms:modified>
</cp:coreProperties>
</file>