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75FBE" w:rsidRPr="00575FBE" w:rsidRDefault="0066072A" w:rsidP="00575FB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TRENDS AND CHANGING PATTERNS OF LABOUR MOBILITY IN EUROPE</w:t>
      </w:r>
    </w:p>
    <w:p w:rsidR="0066072A" w:rsidRPr="0066072A" w:rsidRDefault="0066072A" w:rsidP="0066072A">
      <w:pPr>
        <w:autoSpaceDE w:val="0"/>
        <w:autoSpaceDN w:val="0"/>
        <w:adjustRightInd w:val="0"/>
        <w:rPr>
          <w:rFonts w:ascii="Times New Roman" w:eastAsia="MS Mincho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proofErr w:type="spellEnd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: </w:t>
      </w:r>
      <w:r w:rsidRPr="0066072A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DR. Éva Lukács Gellérné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66072A">
        <w:rPr>
          <w:rFonts w:ascii="Times New Roman" w:eastAsia="MS Mincho" w:hAnsi="Times New Roman" w:cs="Times New Roman"/>
          <w:color w:val="000000"/>
          <w:sz w:val="24"/>
          <w:szCs w:val="24"/>
        </w:rPr>
        <w:t>senior</w:t>
      </w:r>
      <w:proofErr w:type="spellEnd"/>
      <w:r w:rsidRPr="0066072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072A">
        <w:rPr>
          <w:rFonts w:ascii="Times New Roman" w:eastAsia="MS Mincho" w:hAnsi="Times New Roman" w:cs="Times New Roman"/>
          <w:color w:val="000000"/>
          <w:sz w:val="24"/>
          <w:szCs w:val="24"/>
        </w:rPr>
        <w:t>lecturer</w:t>
      </w:r>
      <w:proofErr w:type="spellEnd"/>
    </w:p>
    <w:p w:rsidR="0066072A" w:rsidRPr="00D87CE3" w:rsidRDefault="0066072A" w:rsidP="0066072A">
      <w:pPr>
        <w:autoSpaceDE w:val="0"/>
        <w:autoSpaceDN w:val="0"/>
        <w:adjustRightInd w:val="0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D87CE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Department of </w:t>
      </w:r>
      <w:proofErr w:type="spellStart"/>
      <w:r w:rsidRPr="00D87CE3">
        <w:rPr>
          <w:rFonts w:ascii="Times New Roman" w:eastAsia="MS Mincho" w:hAnsi="Times New Roman" w:cs="Times New Roman"/>
          <w:color w:val="000000"/>
          <w:sz w:val="24"/>
          <w:szCs w:val="24"/>
        </w:rPr>
        <w:t>Private</w:t>
      </w:r>
      <w:proofErr w:type="spellEnd"/>
      <w:r w:rsidRPr="00D87CE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International Law and European </w:t>
      </w:r>
      <w:proofErr w:type="spellStart"/>
      <w:r w:rsidRPr="00D87CE3">
        <w:rPr>
          <w:rFonts w:ascii="Times New Roman" w:eastAsia="MS Mincho" w:hAnsi="Times New Roman" w:cs="Times New Roman"/>
          <w:color w:val="000000"/>
          <w:sz w:val="24"/>
          <w:szCs w:val="24"/>
        </w:rPr>
        <w:t>Economic</w:t>
      </w:r>
      <w:proofErr w:type="spellEnd"/>
      <w:r w:rsidRPr="00D87CE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Law (ELTE)</w:t>
      </w:r>
    </w:p>
    <w:p w:rsidR="0066072A" w:rsidRDefault="0066072A" w:rsidP="0066072A">
      <w:pPr>
        <w:autoSpaceDE w:val="0"/>
        <w:autoSpaceDN w:val="0"/>
        <w:adjustRightInd w:val="0"/>
        <w:rPr>
          <w:rFonts w:ascii="Times New Roman" w:eastAsia="MS Mincho" w:hAnsi="Times New Roman" w:cs="Times New Roman"/>
          <w:color w:val="000000"/>
          <w:sz w:val="24"/>
          <w:szCs w:val="24"/>
        </w:rPr>
      </w:pPr>
      <w:proofErr w:type="gramStart"/>
      <w:r w:rsidRPr="0066072A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e-mail</w:t>
      </w:r>
      <w:proofErr w:type="gramEnd"/>
      <w:r w:rsidRPr="0066072A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: </w:t>
      </w:r>
      <w:hyperlink r:id="rId8" w:history="1">
        <w:r w:rsidRPr="00C14594">
          <w:rPr>
            <w:rStyle w:val="Hiperhivatkozs"/>
            <w:rFonts w:ascii="Times New Roman" w:eastAsia="MS Mincho" w:hAnsi="Times New Roman" w:cs="Times New Roman"/>
            <w:sz w:val="24"/>
            <w:szCs w:val="24"/>
          </w:rPr>
          <w:t>gellernelukacs.eva@ajk.elte.hu</w:t>
        </w:r>
      </w:hyperlink>
    </w:p>
    <w:p w:rsidR="00556081" w:rsidRDefault="00556081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sz w:val="24"/>
          <w:szCs w:val="24"/>
        </w:rPr>
      </w:pPr>
    </w:p>
    <w:p w:rsidR="00D87CE3" w:rsidRPr="00D87CE3" w:rsidRDefault="00D87CE3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</w:pPr>
      <w:proofErr w:type="spellStart"/>
      <w:r w:rsidRPr="00D87CE3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Brief</w:t>
      </w:r>
      <w:proofErr w:type="spellEnd"/>
      <w:r w:rsidRPr="00D87CE3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D87CE3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introduction</w:t>
      </w:r>
      <w:proofErr w:type="spellEnd"/>
    </w:p>
    <w:p w:rsidR="00D87CE3" w:rsidRP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87CE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concise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Brexit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>.</w:t>
      </w:r>
    </w:p>
    <w:p w:rsid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87CE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spells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vast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Concrete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realm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dealt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TFEU and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7CE3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D87CE3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492/2011/EU,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883/2004/EC,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Directive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2005/36/EC,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Directive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2004/38/EC). </w:t>
      </w:r>
    </w:p>
    <w:p w:rsidR="00D87CE3" w:rsidRP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CE3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put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case-law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drawing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horizontal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short-term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underlying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realities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graphs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compare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>.</w:t>
      </w:r>
    </w:p>
    <w:p w:rsidR="00D87CE3" w:rsidRP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CE3">
        <w:rPr>
          <w:rFonts w:ascii="Times New Roman" w:hAnsi="Times New Roman" w:cs="Times New Roman"/>
          <w:sz w:val="24"/>
          <w:szCs w:val="24"/>
        </w:rPr>
        <w:t>Appr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devoted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Brexit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focusing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Withdrawal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underlying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7CE3" w:rsidRP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87CE3" w:rsidRP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7CE3">
        <w:rPr>
          <w:rFonts w:ascii="Times New Roman" w:hAnsi="Times New Roman" w:cs="Times New Roman"/>
          <w:b/>
          <w:sz w:val="24"/>
          <w:szCs w:val="24"/>
        </w:rPr>
        <w:t>Materials</w:t>
      </w:r>
      <w:proofErr w:type="spellEnd"/>
    </w:p>
    <w:p w:rsidR="00D87CE3" w:rsidRP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87CE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slides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uploaded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>.</w:t>
      </w:r>
    </w:p>
    <w:p w:rsidR="00D87CE3" w:rsidRP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87CE3" w:rsidRP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7CE3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</w:p>
    <w:p w:rsid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CE3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obligatory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appr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15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87CE3" w:rsidRP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D87CE3">
        <w:rPr>
          <w:rFonts w:ascii="Times New Roman" w:hAnsi="Times New Roman" w:cs="Times New Roman"/>
          <w:sz w:val="24"/>
          <w:szCs w:val="24"/>
        </w:rPr>
        <w:t>ctive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appreciated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account.</w:t>
      </w:r>
    </w:p>
    <w:p w:rsidR="00D87CE3" w:rsidRDefault="00D87CE3" w:rsidP="00D87CE3">
      <w:pPr>
        <w:pBdr>
          <w:bottom w:val="single" w:sz="6" w:space="1" w:color="auto"/>
        </w:pBdr>
        <w:jc w:val="both"/>
        <w:rPr>
          <w:rFonts w:ascii="Garamond" w:hAnsi="Garamond"/>
        </w:rPr>
      </w:pPr>
    </w:p>
    <w:p w:rsidR="005C41D1" w:rsidRDefault="005C41D1" w:rsidP="00D87CE3">
      <w:pPr>
        <w:pBdr>
          <w:bottom w:val="single" w:sz="6" w:space="1" w:color="auto"/>
        </w:pBdr>
        <w:jc w:val="both"/>
        <w:rPr>
          <w:rFonts w:ascii="Garamond" w:hAnsi="Garamond"/>
        </w:rPr>
      </w:pPr>
    </w:p>
    <w:p w:rsidR="005C41D1" w:rsidRDefault="005C41D1" w:rsidP="00D87CE3">
      <w:pPr>
        <w:pBdr>
          <w:bottom w:val="single" w:sz="6" w:space="1" w:color="auto"/>
        </w:pBdr>
        <w:jc w:val="both"/>
        <w:rPr>
          <w:rFonts w:ascii="Garamond" w:hAnsi="Garamond"/>
        </w:rPr>
      </w:pPr>
    </w:p>
    <w:p w:rsidR="005C41D1" w:rsidRDefault="005C41D1" w:rsidP="00D87CE3">
      <w:pPr>
        <w:pBdr>
          <w:bottom w:val="single" w:sz="6" w:space="1" w:color="auto"/>
        </w:pBdr>
        <w:jc w:val="both"/>
        <w:rPr>
          <w:rFonts w:ascii="Garamond" w:hAnsi="Garamond"/>
        </w:rPr>
      </w:pPr>
      <w:bookmarkStart w:id="0" w:name="_GoBack"/>
      <w:bookmarkEnd w:id="0"/>
    </w:p>
    <w:sectPr w:rsidR="005C41D1" w:rsidSect="00B926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65C" w:rsidRDefault="00F0565C" w:rsidP="006A3E9F">
      <w:pPr>
        <w:spacing w:after="0" w:line="240" w:lineRule="auto"/>
      </w:pPr>
      <w:r>
        <w:separator/>
      </w:r>
    </w:p>
  </w:endnote>
  <w:endnote w:type="continuationSeparator" w:id="0">
    <w:p w:rsidR="00F0565C" w:rsidRDefault="00F0565C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65C" w:rsidRDefault="00F0565C" w:rsidP="006A3E9F">
      <w:pPr>
        <w:spacing w:after="0" w:line="240" w:lineRule="auto"/>
      </w:pPr>
      <w:r>
        <w:separator/>
      </w:r>
    </w:p>
  </w:footnote>
  <w:footnote w:type="continuationSeparator" w:id="0">
    <w:p w:rsidR="00F0565C" w:rsidRDefault="00F0565C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BF55AB7" wp14:editId="5EA5D7CD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E6630"/>
    <w:rsid w:val="00122B14"/>
    <w:rsid w:val="001241F1"/>
    <w:rsid w:val="00154A91"/>
    <w:rsid w:val="00214377"/>
    <w:rsid w:val="00275162"/>
    <w:rsid w:val="002A7467"/>
    <w:rsid w:val="002D4CE3"/>
    <w:rsid w:val="002F4EDE"/>
    <w:rsid w:val="00347A6B"/>
    <w:rsid w:val="00375825"/>
    <w:rsid w:val="003D6FD0"/>
    <w:rsid w:val="004459A6"/>
    <w:rsid w:val="00462CEF"/>
    <w:rsid w:val="004C71B7"/>
    <w:rsid w:val="004E18B0"/>
    <w:rsid w:val="00556081"/>
    <w:rsid w:val="00575FBE"/>
    <w:rsid w:val="005A5506"/>
    <w:rsid w:val="005A64D8"/>
    <w:rsid w:val="005C41D1"/>
    <w:rsid w:val="0066072A"/>
    <w:rsid w:val="006A370D"/>
    <w:rsid w:val="006A3E9F"/>
    <w:rsid w:val="006B41A4"/>
    <w:rsid w:val="0070193A"/>
    <w:rsid w:val="007258B7"/>
    <w:rsid w:val="007317AD"/>
    <w:rsid w:val="008B251A"/>
    <w:rsid w:val="008C6F6E"/>
    <w:rsid w:val="008E334E"/>
    <w:rsid w:val="00907F12"/>
    <w:rsid w:val="0093128C"/>
    <w:rsid w:val="00957CD4"/>
    <w:rsid w:val="00A34386"/>
    <w:rsid w:val="00A40DF6"/>
    <w:rsid w:val="00A66710"/>
    <w:rsid w:val="00B1106A"/>
    <w:rsid w:val="00B9260F"/>
    <w:rsid w:val="00C0178E"/>
    <w:rsid w:val="00C17BC8"/>
    <w:rsid w:val="00C6762B"/>
    <w:rsid w:val="00C8090E"/>
    <w:rsid w:val="00C94228"/>
    <w:rsid w:val="00CB57FC"/>
    <w:rsid w:val="00CF4A2A"/>
    <w:rsid w:val="00D87CE3"/>
    <w:rsid w:val="00DA3812"/>
    <w:rsid w:val="00DF137E"/>
    <w:rsid w:val="00E0037E"/>
    <w:rsid w:val="00E50966"/>
    <w:rsid w:val="00F0565C"/>
    <w:rsid w:val="00F20AF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llernelukacs.eva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354DD-9697-4878-A041-A3DB2E79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2</cp:revision>
  <dcterms:created xsi:type="dcterms:W3CDTF">2020-06-04T11:34:00Z</dcterms:created>
  <dcterms:modified xsi:type="dcterms:W3CDTF">2020-06-04T11:34:00Z</dcterms:modified>
</cp:coreProperties>
</file>