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845CC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77AA7E38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B925C0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3EA16E1" w14:textId="74548604" w:rsidR="007F6EB4" w:rsidRDefault="00D547CC" w:rsidP="00AD57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D574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Grundkurs Bürgerliches Recht </w:t>
      </w:r>
      <w:r w:rsidR="00502F48" w:rsidRPr="00AD574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I: Der Allgemeine Teil des </w:t>
      </w:r>
      <w:r w:rsidRPr="00AD574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deutschen BGB</w:t>
      </w:r>
    </w:p>
    <w:p w14:paraId="69A64063" w14:textId="77777777" w:rsidR="00AD5740" w:rsidRPr="00AD5740" w:rsidRDefault="00AD5740" w:rsidP="00AD57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14:paraId="767CB7A9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Pr="00D547CC">
        <w:rPr>
          <w:rFonts w:ascii="Times New Roman" w:hAnsi="Times New Roman" w:cs="Times New Roman"/>
          <w:b/>
          <w:lang w:val="de-DE"/>
        </w:rPr>
        <w:t>Erik Eggert, DAAD-Fachlektor für deutsches Recht</w:t>
      </w:r>
    </w:p>
    <w:p w14:paraId="299ECD66" w14:textId="77777777" w:rsidR="001C60F5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 w:rsidRPr="00D547CC">
        <w:rPr>
          <w:rFonts w:ascii="Times New Roman" w:hAnsi="Times New Roman" w:cs="Times New Roman"/>
          <w:lang w:val="de-DE"/>
        </w:rPr>
        <w:t>Veranstaltungsort und -zeit</w:t>
      </w:r>
      <w:r w:rsidR="007F6EB4" w:rsidRPr="00D547CC">
        <w:rPr>
          <w:rFonts w:ascii="Times New Roman" w:hAnsi="Times New Roman" w:cs="Times New Roman"/>
          <w:lang w:val="de-DE"/>
        </w:rPr>
        <w:t xml:space="preserve">: </w:t>
      </w:r>
    </w:p>
    <w:p w14:paraId="4C3A9766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ail:</w:t>
      </w:r>
      <w:r w:rsidRPr="00D547CC">
        <w:rPr>
          <w:rFonts w:ascii="Times New Roman" w:hAnsi="Times New Roman" w:cs="Times New Roman"/>
          <w:lang w:val="de-DE"/>
        </w:rPr>
        <w:t> </w:t>
      </w:r>
      <w:r w:rsidR="000E6D6B" w:rsidRPr="00DD3FF5">
        <w:rPr>
          <w:rFonts w:ascii="Times New Roman" w:hAnsi="Times New Roman" w:cs="Times New Roman"/>
          <w:lang w:val="de-DE"/>
        </w:rPr>
        <w:t>eggert.daad@gmail.com</w:t>
      </w:r>
      <w:r w:rsidR="000E6D6B">
        <w:rPr>
          <w:rFonts w:ascii="Times New Roman" w:hAnsi="Times New Roman" w:cs="Times New Roman"/>
          <w:lang w:val="de-DE"/>
        </w:rPr>
        <w:t xml:space="preserve"> /</w:t>
      </w:r>
      <w:r w:rsidR="000E6D6B" w:rsidRPr="00D04201">
        <w:rPr>
          <w:rFonts w:ascii="Times New Roman" w:hAnsi="Times New Roman" w:cs="Times New Roman"/>
          <w:lang w:val="de-DE"/>
        </w:rPr>
        <w:t xml:space="preserve"> </w:t>
      </w:r>
      <w:r w:rsidR="000E6D6B">
        <w:rPr>
          <w:rFonts w:ascii="Times New Roman" w:hAnsi="Times New Roman" w:cs="Times New Roman"/>
          <w:lang w:val="de-DE"/>
        </w:rPr>
        <w:t>Eggert.Erik@ajk.elte.hu</w:t>
      </w:r>
      <w:r w:rsidR="007F6EB4" w:rsidRPr="00D547CC">
        <w:rPr>
          <w:rFonts w:ascii="Times New Roman" w:hAnsi="Times New Roman" w:cs="Times New Roman"/>
          <w:lang w:val="de-DE"/>
        </w:rPr>
        <w:t xml:space="preserve"> </w:t>
      </w:r>
    </w:p>
    <w:p w14:paraId="7ECEF99F" w14:textId="77777777" w:rsidR="001C60F5" w:rsidRDefault="001C60F5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54B333C" w14:textId="77777777" w:rsidR="00D547CC" w:rsidRPr="008239D6" w:rsidRDefault="00D547CC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Der Grundkurs Bürgerliches Recht richtet sich </w:t>
      </w:r>
      <w:r w:rsidR="00482476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Studierende aller Semester mit Interesse am deutschen Zivilrecht. Ziel ist es, die für das gesamte Bürgerliche Gesetzbuch 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(BGB)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geltenden allgemeinen Regelungen 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kennenzulernen.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er Kurs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 xml:space="preserve">soll den Studierenden 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>einen Einblick in die Rechtsanwendung auf der Grundlage des BGB Allgemeiner Teil geben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 xml:space="preserve"> und sie anregen, sich den Stoff eigenständig zu erarbeiten und zu vertiefen.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 Nach einer Einführung in die Struktur und den Regelungsumfang des BGB wird ein erster Schwerpunkt im Bereich der Rechtsgeschäfte liegen. Hier werden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 xml:space="preserve">Fragen zu 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Willenserklärungen,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>zum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 Vertragsschluss und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>zur Wirksamkeit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 erörtert. Ein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en zweiten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 Schwerpunkt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>bilden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 die Möglichkeiten der Vertretung. Hier geht es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um die Frage, wann eine Person ein Rechtsgeschäft durch eine andere Person abschließen kann und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 xml:space="preserve">welche Anforderungen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hierbei zu beachten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>sind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. Im dritten Schwerpunkt wird die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Nichtigkeit von Willenserklärungen und Verträgen besprochen. Im Vordergrund stehen dabei die</w:t>
      </w:r>
      <w:r w:rsidR="008239D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Geschäftsfähigkeit</w:t>
      </w:r>
      <w:r w:rsidR="008239D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Formerfordernisse, Gesetzesverstöße und die Möglichkeit, eine Willenserklärung anzufechten. Während des Kurses werden kleinere Beispielsfälle zur besseren Verständlichkeit besprochen. Vertiefende Fallbesprechungen werden in einem ergänzenden Kurs „Bürgerliches Recht </w:t>
      </w:r>
      <w:r w:rsidR="000E6D6B">
        <w:rPr>
          <w:rFonts w:ascii="Times New Roman" w:hAnsi="Times New Roman" w:cs="Times New Roman"/>
          <w:sz w:val="24"/>
          <w:szCs w:val="24"/>
          <w:lang w:val="de-DE"/>
        </w:rPr>
        <w:t xml:space="preserve">I: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Fallbesprechung zum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 xml:space="preserve">Allgemeinen Teil des deutschen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BGB“ angeboten, der ein Fallrepetitorium darstellt. 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Im </w:t>
      </w:r>
      <w:r w:rsidR="000E6D6B">
        <w:rPr>
          <w:rFonts w:ascii="Times New Roman" w:hAnsi="Times New Roman" w:cs="Times New Roman"/>
          <w:sz w:val="24"/>
          <w:szCs w:val="24"/>
          <w:lang w:val="de-DE"/>
        </w:rPr>
        <w:t>Sommers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emester wird der Grundkurs Bürgerliches Recht im zweiten Teil mit dem Allgemeinen Schuldrecht des deutschen BGB fortgesetzt. </w:t>
      </w:r>
      <w:r w:rsidR="008A0485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Die relevanten gesetzlichen Normen des BGB werden im Kurs ausgegeben.  </w:t>
      </w:r>
    </w:p>
    <w:p w14:paraId="10F962FC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4A571D63" w14:textId="77777777" w:rsid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 xml:space="preserve">Struktur und Regelungsinhalt des BGB, </w:t>
      </w:r>
      <w:r w:rsidR="00132EC6">
        <w:rPr>
          <w:rFonts w:ascii="Times New Roman" w:hAnsi="Times New Roman" w:cs="Times New Roman"/>
          <w:lang w:val="de-DE"/>
        </w:rPr>
        <w:t>z</w:t>
      </w:r>
      <w:r w:rsidRPr="008239D6">
        <w:rPr>
          <w:rFonts w:ascii="Times New Roman" w:hAnsi="Times New Roman" w:cs="Times New Roman"/>
          <w:lang w:val="de-DE"/>
        </w:rPr>
        <w:t xml:space="preserve">ivilrechtlich erhebliche Handlungen und Rechtsgeschäfte </w:t>
      </w:r>
    </w:p>
    <w:p w14:paraId="0B0F2F84" w14:textId="77777777" w:rsidR="008239D6" w:rsidRP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>Rechtsgeschäfte I (Willenserklärung, äußerer und innerer Tatbestand, Zurechnung, Wirksamwerden)</w:t>
      </w:r>
    </w:p>
    <w:p w14:paraId="609E988B" w14:textId="77777777" w:rsidR="008239D6" w:rsidRP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>Rechtsgeschäfte II (Vertrag, Angebot und Annahme, Willensübereinstimmung, Zustandekommen der Einigung)</w:t>
      </w:r>
    </w:p>
    <w:p w14:paraId="3F4EF22D" w14:textId="77777777" w:rsid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 xml:space="preserve">Rechtsgeschäfte III (einseitige Rechtsgeschäfte, Wirksamkeitsvoraussetzungen, Auslegung, Auslegungsarten, </w:t>
      </w:r>
      <w:r w:rsidR="000E6D6B">
        <w:rPr>
          <w:rFonts w:ascii="Times New Roman" w:hAnsi="Times New Roman" w:cs="Times New Roman"/>
          <w:lang w:val="de-DE"/>
        </w:rPr>
        <w:t>G</w:t>
      </w:r>
      <w:r w:rsidRPr="008239D6">
        <w:rPr>
          <w:rFonts w:ascii="Times New Roman" w:hAnsi="Times New Roman" w:cs="Times New Roman"/>
          <w:lang w:val="de-DE"/>
        </w:rPr>
        <w:t>renzen</w:t>
      </w:r>
      <w:r w:rsidR="000E6D6B">
        <w:rPr>
          <w:rFonts w:ascii="Times New Roman" w:hAnsi="Times New Roman" w:cs="Times New Roman"/>
          <w:lang w:val="de-DE"/>
        </w:rPr>
        <w:t xml:space="preserve"> der Auslegung</w:t>
      </w:r>
      <w:r w:rsidRPr="008239D6">
        <w:rPr>
          <w:rFonts w:ascii="Times New Roman" w:hAnsi="Times New Roman" w:cs="Times New Roman"/>
          <w:lang w:val="de-DE"/>
        </w:rPr>
        <w:t>)</w:t>
      </w:r>
    </w:p>
    <w:p w14:paraId="5A8251FE" w14:textId="77777777" w:rsidR="00AD5740" w:rsidRDefault="00AD5740" w:rsidP="00AD574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54906C78" w14:textId="77777777" w:rsidR="00AD5740" w:rsidRDefault="00AD5740" w:rsidP="00AD574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439E175A" w14:textId="77777777" w:rsidR="00AD5740" w:rsidRDefault="00AD5740" w:rsidP="00AD574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7E1FA5D6" w14:textId="3647C123" w:rsidR="000E6D6B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AD5740">
        <w:rPr>
          <w:rFonts w:ascii="Times New Roman" w:hAnsi="Times New Roman" w:cs="Times New Roman"/>
          <w:lang w:val="de-DE"/>
        </w:rPr>
        <w:t>Bedingung und Befristung (Begriff, Zulässigkeit, Rechtsfolgen)</w:t>
      </w:r>
    </w:p>
    <w:p w14:paraId="79C93B8C" w14:textId="77777777" w:rsidR="00AD5740" w:rsidRPr="00AD5740" w:rsidRDefault="00AD5740" w:rsidP="00AD5740">
      <w:pPr>
        <w:pStyle w:val="Default"/>
        <w:spacing w:after="120"/>
        <w:ind w:left="720"/>
        <w:rPr>
          <w:rFonts w:ascii="Times New Roman" w:hAnsi="Times New Roman" w:cs="Times New Roman"/>
          <w:lang w:val="de-DE"/>
        </w:rPr>
      </w:pPr>
    </w:p>
    <w:p w14:paraId="1F29FF0D" w14:textId="77777777" w:rsidR="008239D6" w:rsidRPr="000E6D6B" w:rsidRDefault="008239D6" w:rsidP="0099680E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0E6D6B">
        <w:rPr>
          <w:rFonts w:ascii="Times New Roman" w:hAnsi="Times New Roman" w:cs="Times New Roman"/>
          <w:lang w:val="de-DE"/>
        </w:rPr>
        <w:t>Die Vertretung I (Zulässigkeit, Abgrenzung Vertreter - Bote, Handeln im fremden Namen)</w:t>
      </w:r>
    </w:p>
    <w:p w14:paraId="292A5663" w14:textId="77777777" w:rsidR="00502F48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 xml:space="preserve">Die Vertretung II (Vertretungsmacht, Innenverhältnis und Außenverhältnis, </w:t>
      </w:r>
      <w:r w:rsidR="000E6D6B">
        <w:rPr>
          <w:rFonts w:ascii="Times New Roman" w:hAnsi="Times New Roman" w:cs="Times New Roman"/>
          <w:lang w:val="de-DE"/>
        </w:rPr>
        <w:t xml:space="preserve">Rechtsfolgen, </w:t>
      </w:r>
      <w:r w:rsidRPr="008239D6">
        <w:rPr>
          <w:rFonts w:ascii="Times New Roman" w:hAnsi="Times New Roman" w:cs="Times New Roman"/>
          <w:lang w:val="de-DE"/>
        </w:rPr>
        <w:t>Erlöschen der Vollmacht, der gute Glaube an die Vollmacht, gesetzliche Vertretung)</w:t>
      </w:r>
    </w:p>
    <w:p w14:paraId="5840E470" w14:textId="77777777" w:rsidR="00502F48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>Z</w:t>
      </w:r>
      <w:r w:rsidR="000E6D6B">
        <w:rPr>
          <w:rFonts w:ascii="Times New Roman" w:hAnsi="Times New Roman" w:cs="Times New Roman"/>
          <w:lang w:val="de-DE"/>
        </w:rPr>
        <w:t xml:space="preserve">ustimmung (Einwilligung, Genehmigung, </w:t>
      </w:r>
      <w:r w:rsidRPr="008239D6">
        <w:rPr>
          <w:rFonts w:ascii="Times New Roman" w:hAnsi="Times New Roman" w:cs="Times New Roman"/>
          <w:lang w:val="de-DE"/>
        </w:rPr>
        <w:t>Ermächtigung</w:t>
      </w:r>
      <w:r w:rsidR="000E6D6B">
        <w:rPr>
          <w:rFonts w:ascii="Times New Roman" w:hAnsi="Times New Roman" w:cs="Times New Roman"/>
          <w:lang w:val="de-DE"/>
        </w:rPr>
        <w:t>)</w:t>
      </w:r>
    </w:p>
    <w:p w14:paraId="4C8879AC" w14:textId="77777777" w:rsid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 xml:space="preserve">Geschäftsfähigkeit (Geschäftsunfähigkeit, </w:t>
      </w:r>
      <w:r w:rsidR="00BA3F3E">
        <w:rPr>
          <w:rFonts w:ascii="Times New Roman" w:hAnsi="Times New Roman" w:cs="Times New Roman"/>
          <w:lang w:val="de-DE"/>
        </w:rPr>
        <w:t xml:space="preserve">beschränkte Geschäftsfähigkeit, </w:t>
      </w:r>
      <w:r w:rsidRPr="008239D6">
        <w:rPr>
          <w:rFonts w:ascii="Times New Roman" w:hAnsi="Times New Roman" w:cs="Times New Roman"/>
          <w:lang w:val="de-DE"/>
        </w:rPr>
        <w:t>gesetzliche Vertretung</w:t>
      </w:r>
      <w:r w:rsidR="00BA3F3E">
        <w:rPr>
          <w:rFonts w:ascii="Times New Roman" w:hAnsi="Times New Roman" w:cs="Times New Roman"/>
          <w:lang w:val="de-DE"/>
        </w:rPr>
        <w:t xml:space="preserve"> Minderjähriger</w:t>
      </w:r>
      <w:r w:rsidRPr="008239D6">
        <w:rPr>
          <w:rFonts w:ascii="Times New Roman" w:hAnsi="Times New Roman" w:cs="Times New Roman"/>
          <w:lang w:val="de-DE"/>
        </w:rPr>
        <w:t>)</w:t>
      </w:r>
    </w:p>
    <w:p w14:paraId="2AB0A549" w14:textId="77777777" w:rsidR="008239D6" w:rsidRP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>Nichtigkeit des Rechtsgeschäfts</w:t>
      </w:r>
      <w:r w:rsidR="00BA3F3E">
        <w:rPr>
          <w:rFonts w:ascii="Times New Roman" w:hAnsi="Times New Roman" w:cs="Times New Roman"/>
          <w:lang w:val="de-DE"/>
        </w:rPr>
        <w:t>;</w:t>
      </w:r>
      <w:r w:rsidRPr="008239D6">
        <w:rPr>
          <w:rFonts w:ascii="Times New Roman" w:hAnsi="Times New Roman" w:cs="Times New Roman"/>
          <w:lang w:val="de-DE"/>
        </w:rPr>
        <w:t xml:space="preserve"> </w:t>
      </w:r>
      <w:r w:rsidR="00BA3F3E" w:rsidRPr="008239D6">
        <w:rPr>
          <w:rFonts w:ascii="Times New Roman" w:hAnsi="Times New Roman" w:cs="Times New Roman"/>
          <w:lang w:val="de-DE"/>
        </w:rPr>
        <w:t xml:space="preserve">Formbedürftiges Rechtsgeschäft </w:t>
      </w:r>
      <w:r w:rsidRPr="008239D6">
        <w:rPr>
          <w:rFonts w:ascii="Times New Roman" w:hAnsi="Times New Roman" w:cs="Times New Roman"/>
          <w:lang w:val="de-DE"/>
        </w:rPr>
        <w:t xml:space="preserve">(Gesetzesverstoß im Sinne des § 134 BGB, Nichtigkeit nach </w:t>
      </w:r>
      <w:r w:rsidR="00132EC6">
        <w:rPr>
          <w:rFonts w:ascii="Times New Roman" w:hAnsi="Times New Roman" w:cs="Times New Roman"/>
          <w:lang w:val="de-DE"/>
        </w:rPr>
        <w:t xml:space="preserve">§ </w:t>
      </w:r>
      <w:r w:rsidRPr="008239D6">
        <w:rPr>
          <w:rFonts w:ascii="Times New Roman" w:hAnsi="Times New Roman" w:cs="Times New Roman"/>
          <w:lang w:val="de-DE"/>
        </w:rPr>
        <w:t>138 BGB</w:t>
      </w:r>
      <w:r w:rsidR="00BA3F3E">
        <w:rPr>
          <w:rFonts w:ascii="Times New Roman" w:hAnsi="Times New Roman" w:cs="Times New Roman"/>
          <w:lang w:val="de-DE"/>
        </w:rPr>
        <w:t>,</w:t>
      </w:r>
      <w:r w:rsidR="00BA3F3E" w:rsidRPr="00BA3F3E">
        <w:rPr>
          <w:rFonts w:ascii="Times New Roman" w:hAnsi="Times New Roman" w:cs="Times New Roman"/>
          <w:lang w:val="de-DE"/>
        </w:rPr>
        <w:t xml:space="preserve"> </w:t>
      </w:r>
      <w:r w:rsidR="00BA3F3E" w:rsidRPr="008239D6">
        <w:rPr>
          <w:rFonts w:ascii="Times New Roman" w:hAnsi="Times New Roman" w:cs="Times New Roman"/>
          <w:lang w:val="de-DE"/>
        </w:rPr>
        <w:t>gesetzliche Formerfordernisse, Rechtsfolgen eines Formmangels, Heilung eines Formmangels</w:t>
      </w:r>
      <w:r w:rsidRPr="008239D6">
        <w:rPr>
          <w:rFonts w:ascii="Times New Roman" w:hAnsi="Times New Roman" w:cs="Times New Roman"/>
          <w:lang w:val="de-DE"/>
        </w:rPr>
        <w:t>)</w:t>
      </w:r>
    </w:p>
    <w:p w14:paraId="55C1A747" w14:textId="77777777" w:rsidR="008239D6" w:rsidRPr="008239D6" w:rsidRDefault="00BA3F3E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 xml:space="preserve">Nichtigkeit der Willenserklärung nach erfolgter Anfechtung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Anfechtung nach § 119 BGB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013B2CC2" w14:textId="77777777" w:rsid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>Nichtigkeit der Willenserklärung nach erfolgter Anfechtung (Anfechtung</w:t>
      </w:r>
      <w:r w:rsidR="00BA3F3E">
        <w:rPr>
          <w:rFonts w:ascii="Times New Roman" w:hAnsi="Times New Roman" w:cs="Times New Roman"/>
          <w:lang w:val="de-DE"/>
        </w:rPr>
        <w:t xml:space="preserve"> </w:t>
      </w:r>
      <w:r w:rsidRPr="008239D6">
        <w:rPr>
          <w:rFonts w:ascii="Times New Roman" w:hAnsi="Times New Roman" w:cs="Times New Roman"/>
          <w:lang w:val="de-DE"/>
        </w:rPr>
        <w:t>nach § 120, § 123 BGB</w:t>
      </w:r>
      <w:r w:rsidR="00BA3F3E">
        <w:rPr>
          <w:rFonts w:ascii="Times New Roman" w:hAnsi="Times New Roman" w:cs="Times New Roman"/>
          <w:lang w:val="de-DE"/>
        </w:rPr>
        <w:t>, Schadensersatz nach § 122 BGB</w:t>
      </w:r>
      <w:r w:rsidRPr="008239D6">
        <w:rPr>
          <w:rFonts w:ascii="Times New Roman" w:hAnsi="Times New Roman" w:cs="Times New Roman"/>
          <w:lang w:val="de-DE"/>
        </w:rPr>
        <w:t>)</w:t>
      </w:r>
    </w:p>
    <w:p w14:paraId="5630B969" w14:textId="77777777" w:rsidR="008239D6" w:rsidRPr="008239D6" w:rsidRDefault="008239D6" w:rsidP="008239D6">
      <w:pPr>
        <w:pStyle w:val="Default"/>
        <w:rPr>
          <w:rFonts w:ascii="Times New Roman" w:hAnsi="Times New Roman" w:cs="Times New Roman"/>
          <w:lang w:val="de-DE"/>
        </w:rPr>
      </w:pPr>
    </w:p>
    <w:p w14:paraId="2645CE0F" w14:textId="236D2399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M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ethod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ische Hinweise</w:t>
      </w:r>
      <w:r w:rsidR="00CA573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und Materialien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5EFEDD61" w14:textId="2CFB62C6" w:rsidR="007F6EB4" w:rsidRPr="008239D6" w:rsidRDefault="00CA573D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Kurs regt die Teilnehmenden zu einer eigenständigen Erarbeitung und Vertiefung des Stoffes an. </w:t>
      </w:r>
      <w:r w:rsidR="008239D6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Es wird von den Studierenden eine aktive Teilnahme </w:t>
      </w:r>
      <w:r w:rsidR="008239D6">
        <w:rPr>
          <w:rFonts w:ascii="Times New Roman" w:hAnsi="Times New Roman" w:cs="Times New Roman"/>
          <w:sz w:val="24"/>
          <w:szCs w:val="24"/>
          <w:lang w:val="de-DE"/>
        </w:rPr>
        <w:t xml:space="preserve">an der Veranstaltung erwartet.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Im Anschluss an die jeweilige Veranstaltungseinheit wird die Präsentation per </w:t>
      </w:r>
      <w:r>
        <w:rPr>
          <w:rFonts w:ascii="Times New Roman" w:hAnsi="Times New Roman" w:cs="Times New Roman"/>
          <w:sz w:val="24"/>
          <w:szCs w:val="24"/>
          <w:lang w:val="de-DE"/>
        </w:rPr>
        <w:br/>
        <w:t>E-Mail an die Teilnehmenden versendet.</w:t>
      </w:r>
      <w:r w:rsidRPr="00592F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Präsentationen und Vortrag bilden die Grundlage für die Prüfungsvorbereitung.</w:t>
      </w:r>
    </w:p>
    <w:p w14:paraId="727FBA76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14:paraId="2921341C" w14:textId="61119C27" w:rsidR="00D547CC" w:rsidRPr="008239D6" w:rsidRDefault="008239D6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schriftliche Abschlussprüfung hat einen Umfang von 90 Minuten. 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Als Hilfsmittel sind das BGB und ein Wörterbuch </w:t>
      </w:r>
      <w:r w:rsidR="000E6D6B">
        <w:rPr>
          <w:rFonts w:ascii="Times New Roman" w:hAnsi="Times New Roman" w:cs="Times New Roman"/>
          <w:sz w:val="24"/>
          <w:szCs w:val="24"/>
          <w:lang w:val="de-DE"/>
        </w:rPr>
        <w:t xml:space="preserve">DE-HU-DE 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zugelassen. </w:t>
      </w:r>
      <w:r w:rsidR="007E6CF7">
        <w:rPr>
          <w:rFonts w:ascii="Times New Roman" w:hAnsi="Times New Roman" w:cs="Times New Roman"/>
          <w:sz w:val="24"/>
          <w:szCs w:val="24"/>
          <w:lang w:val="de-DE"/>
        </w:rPr>
        <w:t>Auf Wunsch wird</w:t>
      </w:r>
      <w:r w:rsidR="000E6D6B">
        <w:rPr>
          <w:rFonts w:ascii="Times New Roman" w:hAnsi="Times New Roman" w:cs="Times New Roman"/>
          <w:sz w:val="24"/>
          <w:szCs w:val="24"/>
          <w:lang w:val="de-DE"/>
        </w:rPr>
        <w:t xml:space="preserve"> zur Mitte des Kurses eine Probeklausur angeboten. </w:t>
      </w:r>
    </w:p>
    <w:sectPr w:rsidR="00D547CC" w:rsidRPr="008239D6" w:rsidSect="00CA2F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453ED" w14:textId="77777777" w:rsidR="00030D21" w:rsidRDefault="00030D21" w:rsidP="005C5DCB">
      <w:pPr>
        <w:spacing w:after="0" w:line="240" w:lineRule="auto"/>
      </w:pPr>
      <w:r>
        <w:separator/>
      </w:r>
    </w:p>
  </w:endnote>
  <w:endnote w:type="continuationSeparator" w:id="0">
    <w:p w14:paraId="074A956F" w14:textId="77777777" w:rsidR="00030D21" w:rsidRDefault="00030D21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3D1CE" w14:textId="77777777" w:rsidR="00030D21" w:rsidRDefault="00030D21" w:rsidP="005C5DCB">
      <w:pPr>
        <w:spacing w:after="0" w:line="240" w:lineRule="auto"/>
      </w:pPr>
      <w:r>
        <w:separator/>
      </w:r>
    </w:p>
  </w:footnote>
  <w:footnote w:type="continuationSeparator" w:id="0">
    <w:p w14:paraId="0FFAB9FB" w14:textId="77777777" w:rsidR="00030D21" w:rsidRDefault="00030D21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12853" w14:textId="77777777" w:rsidR="00132EC6" w:rsidRDefault="00132EC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4E5562" wp14:editId="3C2E5337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4"/>
    <w:rsid w:val="00030D21"/>
    <w:rsid w:val="0006160A"/>
    <w:rsid w:val="00073F7E"/>
    <w:rsid w:val="000E6D6B"/>
    <w:rsid w:val="00132EC6"/>
    <w:rsid w:val="001644A7"/>
    <w:rsid w:val="00184C1C"/>
    <w:rsid w:val="001B0754"/>
    <w:rsid w:val="001C60F5"/>
    <w:rsid w:val="001E4447"/>
    <w:rsid w:val="002753E1"/>
    <w:rsid w:val="002904DE"/>
    <w:rsid w:val="00293408"/>
    <w:rsid w:val="002969FE"/>
    <w:rsid w:val="002B058C"/>
    <w:rsid w:val="00355A14"/>
    <w:rsid w:val="003827D5"/>
    <w:rsid w:val="003A2E39"/>
    <w:rsid w:val="003A7394"/>
    <w:rsid w:val="003B6E02"/>
    <w:rsid w:val="00451ED4"/>
    <w:rsid w:val="00482476"/>
    <w:rsid w:val="004A7E36"/>
    <w:rsid w:val="00502F48"/>
    <w:rsid w:val="00520CEE"/>
    <w:rsid w:val="005B382A"/>
    <w:rsid w:val="005C5DCB"/>
    <w:rsid w:val="0066061B"/>
    <w:rsid w:val="006B27C4"/>
    <w:rsid w:val="007A21E7"/>
    <w:rsid w:val="007E6CF7"/>
    <w:rsid w:val="007F6EB4"/>
    <w:rsid w:val="008239D6"/>
    <w:rsid w:val="008648CB"/>
    <w:rsid w:val="008A0485"/>
    <w:rsid w:val="00975EE9"/>
    <w:rsid w:val="00995B95"/>
    <w:rsid w:val="009A2771"/>
    <w:rsid w:val="009B55CD"/>
    <w:rsid w:val="00AD5740"/>
    <w:rsid w:val="00B57D52"/>
    <w:rsid w:val="00B7783C"/>
    <w:rsid w:val="00B96F3B"/>
    <w:rsid w:val="00BA3F3E"/>
    <w:rsid w:val="00C910EC"/>
    <w:rsid w:val="00CA2F14"/>
    <w:rsid w:val="00CA573D"/>
    <w:rsid w:val="00CB0B5D"/>
    <w:rsid w:val="00CB4D85"/>
    <w:rsid w:val="00CC516D"/>
    <w:rsid w:val="00D26ADF"/>
    <w:rsid w:val="00D547CC"/>
    <w:rsid w:val="00E83476"/>
    <w:rsid w:val="00F10568"/>
    <w:rsid w:val="00F8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527D"/>
  <w15:docId w15:val="{31CF1E90-53E2-437A-8E33-099CFD9B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3326</Characters>
  <Application>Microsoft Office Word</Application>
  <DocSecurity>0</DocSecurity>
  <Lines>27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2020-06-04T12:24:00Z</dcterms:created>
  <dcterms:modified xsi:type="dcterms:W3CDTF">2020-06-04T12:24:00Z</dcterms:modified>
</cp:coreProperties>
</file>