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0173" w14:textId="77777777" w:rsidR="006A3E9F" w:rsidRDefault="006A3E9F" w:rsidP="0093128C">
      <w:pPr>
        <w:pStyle w:val="Nincstrkz"/>
        <w:jc w:val="both"/>
        <w:rPr>
          <w:rFonts w:ascii="Times New Roman" w:hAnsi="Times New Roman" w:cs="Times New Roman"/>
          <w:b/>
          <w:sz w:val="24"/>
          <w:szCs w:val="24"/>
          <w:lang w:val="en-GB"/>
        </w:rPr>
      </w:pPr>
      <w:bookmarkStart w:id="0" w:name="_GoBack"/>
      <w:bookmarkEnd w:id="0"/>
    </w:p>
    <w:p w14:paraId="31B673F7" w14:textId="77777777" w:rsidR="006A3E9F" w:rsidRDefault="006A3E9F" w:rsidP="0093128C">
      <w:pPr>
        <w:pStyle w:val="Nincstrkz"/>
        <w:jc w:val="both"/>
        <w:rPr>
          <w:rFonts w:ascii="Times New Roman" w:hAnsi="Times New Roman" w:cs="Times New Roman"/>
          <w:b/>
          <w:sz w:val="24"/>
          <w:szCs w:val="24"/>
          <w:lang w:val="en-GB"/>
        </w:rPr>
      </w:pPr>
    </w:p>
    <w:p w14:paraId="3F8BA6BE" w14:textId="77777777" w:rsidR="006A3E9F" w:rsidRDefault="006A3E9F" w:rsidP="0093128C">
      <w:pPr>
        <w:pStyle w:val="Nincstrkz"/>
        <w:jc w:val="both"/>
        <w:rPr>
          <w:rFonts w:ascii="Times New Roman" w:hAnsi="Times New Roman" w:cs="Times New Roman"/>
          <w:b/>
          <w:sz w:val="24"/>
          <w:szCs w:val="24"/>
          <w:lang w:val="en-GB"/>
        </w:rPr>
      </w:pPr>
    </w:p>
    <w:p w14:paraId="6B88A2F5" w14:textId="77777777" w:rsidR="004737D2" w:rsidRDefault="004737D2" w:rsidP="004737D2">
      <w:pPr>
        <w:spacing w:after="0"/>
        <w:jc w:val="center"/>
        <w:rPr>
          <w:rFonts w:ascii="Times New Roman" w:hAnsi="Times New Roman" w:cs="Times New Roman"/>
          <w:b/>
          <w:sz w:val="28"/>
          <w:u w:val="single"/>
        </w:rPr>
      </w:pPr>
    </w:p>
    <w:p w14:paraId="73E08C55" w14:textId="77777777" w:rsidR="006A3E9F" w:rsidRPr="00893F33" w:rsidRDefault="006A3E9F" w:rsidP="00893F33">
      <w:pPr>
        <w:pStyle w:val="Nincstrkz"/>
        <w:jc w:val="both"/>
        <w:rPr>
          <w:rFonts w:ascii="Times New Roman" w:hAnsi="Times New Roman" w:cs="Times New Roman"/>
          <w:b/>
          <w:sz w:val="24"/>
          <w:szCs w:val="24"/>
          <w:lang w:val="en-GB"/>
        </w:rPr>
      </w:pPr>
    </w:p>
    <w:p w14:paraId="0874987C" w14:textId="77777777" w:rsidR="00893F33" w:rsidRPr="00893F33" w:rsidRDefault="00893F33" w:rsidP="00893F33">
      <w:pPr>
        <w:pStyle w:val="Nincstrkz"/>
        <w:jc w:val="both"/>
        <w:rPr>
          <w:rFonts w:ascii="Times New Roman" w:hAnsi="Times New Roman" w:cs="Times New Roman"/>
          <w:b/>
          <w:sz w:val="24"/>
          <w:szCs w:val="24"/>
          <w:lang w:val="en-GB"/>
        </w:rPr>
      </w:pPr>
    </w:p>
    <w:p w14:paraId="7C0A8D68" w14:textId="77777777" w:rsidR="00893F33" w:rsidRPr="00893F33" w:rsidRDefault="00893F33" w:rsidP="00893F33">
      <w:pPr>
        <w:pStyle w:val="Nincstrkz"/>
        <w:jc w:val="both"/>
        <w:rPr>
          <w:rFonts w:ascii="Times New Roman" w:hAnsi="Times New Roman" w:cs="Times New Roman"/>
          <w:b/>
          <w:sz w:val="24"/>
          <w:szCs w:val="24"/>
          <w:lang w:val="en-GB"/>
        </w:rPr>
      </w:pPr>
    </w:p>
    <w:p w14:paraId="3BDFD01C" w14:textId="77777777"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RULE OF LAW</w:t>
      </w:r>
    </w:p>
    <w:p w14:paraId="143F896F" w14:textId="77777777" w:rsidR="00893F33" w:rsidRPr="00893F33" w:rsidRDefault="00893F33" w:rsidP="00893F33">
      <w:pPr>
        <w:spacing w:after="0" w:line="240" w:lineRule="auto"/>
        <w:contextualSpacing/>
        <w:jc w:val="center"/>
        <w:rPr>
          <w:rFonts w:ascii="Times New Roman" w:eastAsia="Times New Roman" w:hAnsi="Times New Roman" w:cs="Times New Roman"/>
          <w:b/>
          <w:spacing w:val="-10"/>
          <w:kern w:val="28"/>
          <w:sz w:val="28"/>
          <w:szCs w:val="28"/>
          <w:u w:val="single"/>
          <w:lang w:val="en-GB"/>
        </w:rPr>
      </w:pPr>
      <w:r w:rsidRPr="00893F33">
        <w:rPr>
          <w:rFonts w:ascii="Times New Roman" w:eastAsia="Times New Roman" w:hAnsi="Times New Roman" w:cs="Times New Roman"/>
          <w:b/>
          <w:spacing w:val="-10"/>
          <w:kern w:val="28"/>
          <w:sz w:val="28"/>
          <w:szCs w:val="28"/>
          <w:u w:val="single"/>
          <w:lang w:val="en-GB"/>
        </w:rPr>
        <w:t>(Dichotomies of the Rule of Law: Theoretical Foundations and Contemporary Challenges)</w:t>
      </w:r>
    </w:p>
    <w:p w14:paraId="648810D5"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2FAAD58" w14:textId="77777777" w:rsid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Lecturers</w:t>
      </w:r>
      <w:r w:rsidRPr="00893F33">
        <w:rPr>
          <w:rFonts w:ascii="Times New Roman" w:eastAsia="Times New Roman" w:hAnsi="Times New Roman" w:cs="Times New Roman"/>
          <w:spacing w:val="15"/>
          <w:sz w:val="24"/>
          <w:szCs w:val="24"/>
          <w:lang w:val="en-GB"/>
        </w:rPr>
        <w:t>:</w:t>
      </w:r>
    </w:p>
    <w:p w14:paraId="75D8ED5F"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b/>
          <w:spacing w:val="15"/>
          <w:sz w:val="24"/>
          <w:szCs w:val="24"/>
          <w:lang w:val="en-GB"/>
        </w:rPr>
        <w:t>Csaba Győry</w:t>
      </w:r>
      <w:r w:rsidRPr="00893F33">
        <w:rPr>
          <w:rFonts w:ascii="Times New Roman" w:eastAsia="Times New Roman" w:hAnsi="Times New Roman" w:cs="Times New Roman"/>
          <w:spacing w:val="15"/>
          <w:sz w:val="24"/>
          <w:szCs w:val="24"/>
          <w:lang w:val="en-GB"/>
        </w:rPr>
        <w:t xml:space="preserve">, Assistant Professor, Centre for Law and Society, ELTE Faculty of Law </w:t>
      </w:r>
    </w:p>
    <w:p w14:paraId="1E173EA3" w14:textId="77777777" w:rsidR="00893F33" w:rsidRPr="00893F33" w:rsidRDefault="00893F33" w:rsidP="00893F33">
      <w:pPr>
        <w:numPr>
          <w:ilvl w:val="1"/>
          <w:numId w:val="0"/>
        </w:numPr>
        <w:spacing w:after="160" w:line="259" w:lineRule="auto"/>
        <w:rPr>
          <w:rFonts w:ascii="Times New Roman" w:eastAsia="Times New Roman" w:hAnsi="Times New Roman" w:cs="Times New Roman"/>
          <w:spacing w:val="15"/>
          <w:sz w:val="24"/>
          <w:szCs w:val="24"/>
          <w:lang w:val="en-GB"/>
        </w:rPr>
      </w:pPr>
      <w:r w:rsidRPr="00893F33">
        <w:rPr>
          <w:rFonts w:ascii="Times New Roman" w:eastAsia="Times New Roman" w:hAnsi="Times New Roman" w:cs="Times New Roman"/>
          <w:spacing w:val="15"/>
          <w:sz w:val="24"/>
          <w:szCs w:val="24"/>
          <w:lang w:val="en-GB"/>
        </w:rPr>
        <w:t>Researcher, Institute of Legal Studies, Hungarian Academy of Sciences</w:t>
      </w:r>
    </w:p>
    <w:p w14:paraId="7CCAC70E" w14:textId="77777777" w:rsidR="00893F33" w:rsidRPr="00893F33" w:rsidRDefault="007D368A" w:rsidP="00893F33">
      <w:pPr>
        <w:numPr>
          <w:ilvl w:val="1"/>
          <w:numId w:val="0"/>
        </w:numPr>
        <w:spacing w:after="160" w:line="259" w:lineRule="auto"/>
        <w:jc w:val="both"/>
        <w:rPr>
          <w:rFonts w:ascii="Times New Roman" w:eastAsia="Times New Roman" w:hAnsi="Times New Roman" w:cs="Times New Roman"/>
          <w:color w:val="5A5A5A"/>
          <w:spacing w:val="15"/>
          <w:sz w:val="24"/>
          <w:szCs w:val="24"/>
        </w:rPr>
      </w:pPr>
      <w:hyperlink r:id="rId8" w:history="1">
        <w:r w:rsidR="00893F33" w:rsidRPr="00893F33">
          <w:rPr>
            <w:rFonts w:ascii="Times New Roman" w:eastAsia="Times New Roman" w:hAnsi="Times New Roman" w:cs="Times New Roman"/>
            <w:color w:val="0563C1"/>
            <w:spacing w:val="15"/>
            <w:sz w:val="24"/>
            <w:szCs w:val="24"/>
            <w:u w:val="single"/>
          </w:rPr>
          <w:t>csaba.gyory@ajk.elte.hu</w:t>
        </w:r>
      </w:hyperlink>
      <w:r w:rsidR="00893F33" w:rsidRPr="00893F33">
        <w:rPr>
          <w:rFonts w:ascii="Times New Roman" w:eastAsia="Times New Roman" w:hAnsi="Times New Roman" w:cs="Times New Roman"/>
          <w:color w:val="5A5A5A"/>
          <w:spacing w:val="15"/>
          <w:sz w:val="24"/>
          <w:szCs w:val="24"/>
        </w:rPr>
        <w:t xml:space="preserve"> </w:t>
      </w:r>
    </w:p>
    <w:p w14:paraId="0A436E1C" w14:textId="77777777" w:rsidR="00893F33" w:rsidRPr="00893F33" w:rsidRDefault="00893F33" w:rsidP="00893F33">
      <w:pPr>
        <w:numPr>
          <w:ilvl w:val="1"/>
          <w:numId w:val="0"/>
        </w:numPr>
        <w:spacing w:after="160" w:line="259" w:lineRule="auto"/>
        <w:jc w:val="both"/>
        <w:rPr>
          <w:rFonts w:ascii="Times New Roman" w:eastAsia="Times New Roman" w:hAnsi="Times New Roman" w:cs="Times New Roman"/>
          <w:color w:val="5A5A5A"/>
          <w:spacing w:val="15"/>
          <w:sz w:val="24"/>
          <w:szCs w:val="24"/>
          <w:lang w:val="en-GB"/>
        </w:rPr>
      </w:pPr>
      <w:r w:rsidRPr="00893F33">
        <w:rPr>
          <w:rFonts w:ascii="Times New Roman" w:eastAsia="Times New Roman" w:hAnsi="Times New Roman" w:cs="Times New Roman"/>
          <w:b/>
          <w:color w:val="5A5A5A"/>
          <w:spacing w:val="15"/>
          <w:sz w:val="24"/>
          <w:szCs w:val="24"/>
          <w:lang w:val="en-GB"/>
        </w:rPr>
        <w:t>András Karácsony</w:t>
      </w:r>
      <w:r w:rsidRPr="00893F33">
        <w:rPr>
          <w:rFonts w:ascii="Times New Roman" w:eastAsia="Times New Roman" w:hAnsi="Times New Roman" w:cs="Times New Roman"/>
          <w:color w:val="5A5A5A"/>
          <w:spacing w:val="15"/>
          <w:sz w:val="24"/>
          <w:szCs w:val="24"/>
          <w:lang w:val="en-GB"/>
        </w:rPr>
        <w:t xml:space="preserve">, Professor, Centre for Law and Society, ELTE Faculty of Law </w:t>
      </w:r>
    </w:p>
    <w:p w14:paraId="57E3CBC3" w14:textId="77777777" w:rsid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p>
    <w:p w14:paraId="590CDC64" w14:textId="77777777" w:rsidR="00893F33" w:rsidRP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Description</w:t>
      </w:r>
    </w:p>
    <w:p w14:paraId="5D6FDF63"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27D9CAD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i/>
          <w:sz w:val="24"/>
          <w:szCs w:val="24"/>
          <w:u w:val="single"/>
          <w:lang w:val="en-GB"/>
        </w:rPr>
      </w:pPr>
      <w:r w:rsidRPr="00893F33">
        <w:rPr>
          <w:rFonts w:ascii="Times New Roman" w:eastAsia="Times New Roman" w:hAnsi="Times New Roman" w:cs="Times New Roman"/>
          <w:i/>
          <w:sz w:val="24"/>
          <w:szCs w:val="24"/>
          <w:u w:val="single"/>
          <w:lang w:val="en-GB"/>
        </w:rPr>
        <w:t>What is this course about?</w:t>
      </w:r>
    </w:p>
    <w:p w14:paraId="694810FE"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This course offers an interdisciplinary take on the concept of the rule of law. Instead of limiting itself to a single disciplinary discourse such as the one in comparative constitutional law or law and society, it will attempt to map out mayor narrative avenues in the rule of law discourse in general. In order to do this, it will source from literature in legal theory, comparative constitutional law, political science and law and society. In order to showcase the </w:t>
      </w:r>
      <w:proofErr w:type="spellStart"/>
      <w:r w:rsidRPr="00893F33">
        <w:rPr>
          <w:rFonts w:ascii="Times New Roman" w:eastAsia="Calibri" w:hAnsi="Times New Roman" w:cs="Times New Roman"/>
          <w:sz w:val="24"/>
          <w:szCs w:val="24"/>
          <w:lang w:val="en-GB"/>
        </w:rPr>
        <w:t>multifacetedness</w:t>
      </w:r>
      <w:proofErr w:type="spellEnd"/>
      <w:r w:rsidRPr="00893F33">
        <w:rPr>
          <w:rFonts w:ascii="Times New Roman" w:eastAsia="Calibri" w:hAnsi="Times New Roman" w:cs="Times New Roman"/>
          <w:sz w:val="24"/>
          <w:szCs w:val="24"/>
          <w:lang w:val="en-GB"/>
        </w:rPr>
        <w:t xml:space="preserve"> and ambiguity of the term, the major themes will be presented in dichotomies. This theoretical discussion will be aided by in-depth case studies. </w:t>
      </w:r>
    </w:p>
    <w:p w14:paraId="0CC0CD86"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i/>
          <w:sz w:val="24"/>
          <w:szCs w:val="24"/>
          <w:u w:val="single"/>
          <w:lang w:val="en-GB"/>
        </w:rPr>
      </w:pPr>
      <w:r w:rsidRPr="00893F33">
        <w:rPr>
          <w:rFonts w:ascii="Times New Roman" w:eastAsia="Times New Roman" w:hAnsi="Times New Roman" w:cs="Times New Roman"/>
          <w:i/>
          <w:sz w:val="24"/>
          <w:szCs w:val="24"/>
          <w:u w:val="single"/>
          <w:lang w:val="en-GB"/>
        </w:rPr>
        <w:t>Who should take this course?</w:t>
      </w:r>
    </w:p>
    <w:p w14:paraId="5B993AB6"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The course is aimed at students with interest in constitutional law, political science and law and society. The level of discussion will presuppose a good understanding of basic constitutional concepts on which domestic and EU institutions are based. It does not require, however, any advanced knowledge of EU and comparative constitutional law and legal theory. </w:t>
      </w:r>
    </w:p>
    <w:p w14:paraId="206E3854"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This is a course that requires relatively intense work from participants (including homework: reading and – voluntary – student paper preparation). </w:t>
      </w:r>
    </w:p>
    <w:p w14:paraId="3F73AAA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367CFF1"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0A13E9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54EC2D15"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038A57D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Materials</w:t>
      </w:r>
    </w:p>
    <w:p w14:paraId="6D59C64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28194BF8"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All relevant literature (required and recommended) is available in the reader, which is accessible on the moodle page of the course. As the course progresses, I will make the ppt presentations and/or outlines also available there. </w:t>
      </w:r>
    </w:p>
    <w:p w14:paraId="6D843465"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Attendance Policy</w:t>
      </w:r>
    </w:p>
    <w:p w14:paraId="03DAF597" w14:textId="77777777" w:rsidR="00893F33" w:rsidRDefault="00893F33" w:rsidP="00893F33">
      <w:pPr>
        <w:spacing w:after="160" w:line="259" w:lineRule="auto"/>
        <w:jc w:val="both"/>
        <w:rPr>
          <w:rFonts w:ascii="Times New Roman" w:eastAsia="Calibri" w:hAnsi="Times New Roman" w:cs="Times New Roman"/>
          <w:sz w:val="24"/>
          <w:szCs w:val="24"/>
          <w:lang w:val="en-GB"/>
        </w:rPr>
      </w:pPr>
    </w:p>
    <w:p w14:paraId="020C4EBE"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Regular attendance is required.</w:t>
      </w:r>
    </w:p>
    <w:p w14:paraId="2D357AEF"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 xml:space="preserve">Assignments </w:t>
      </w:r>
    </w:p>
    <w:p w14:paraId="77B9E73C"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31E8D36C"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Students will be required to read the compulsory reading material. The recommended readings are aimed at students with particular interest in the topic. The reading of this is voluntary. The study of the recommended readings is voluntary. There will also be assignments for short student papers on a voluntary basis on select topics and materials. These will be discussed at the beginning of the course. A completed assignment relieves the student from the requirement to submit an essay at the end of the term.</w:t>
      </w:r>
    </w:p>
    <w:p w14:paraId="4C039BFE"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sz w:val="24"/>
          <w:szCs w:val="24"/>
          <w:lang w:val="en-GB"/>
        </w:rPr>
      </w:pPr>
    </w:p>
    <w:p w14:paraId="41843D3C" w14:textId="77777777" w:rsid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Exam, Evaluation and Grading</w:t>
      </w:r>
    </w:p>
    <w:p w14:paraId="092DF819" w14:textId="77777777" w:rsidR="00893F33" w:rsidRPr="00893F33" w:rsidRDefault="00893F33" w:rsidP="00893F33">
      <w:pPr>
        <w:keepNext/>
        <w:keepLines/>
        <w:spacing w:before="40" w:after="0" w:line="259" w:lineRule="auto"/>
        <w:jc w:val="both"/>
        <w:outlineLvl w:val="1"/>
        <w:rPr>
          <w:rFonts w:ascii="Times New Roman" w:eastAsia="Times New Roman" w:hAnsi="Times New Roman" w:cs="Times New Roman"/>
          <w:b/>
          <w:sz w:val="24"/>
          <w:szCs w:val="24"/>
          <w:lang w:val="en-GB"/>
        </w:rPr>
      </w:pPr>
    </w:p>
    <w:p w14:paraId="43938DA1"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In order to complete the course, students will be required to submit an essay. Submission deadline is the end of the term. Topics and further details, including a detailed grading policy  will be made available on the moodle page of the course at the beginning of the term. The grade received for the essay will constitute the final grade, except for those who have completed an assignment during the course. The latter will be graded based on the assignment. </w:t>
      </w:r>
    </w:p>
    <w:p w14:paraId="0EAD3C52" w14:textId="77777777" w:rsidR="00893F33" w:rsidRPr="00893F33" w:rsidRDefault="00893F33" w:rsidP="00893F33">
      <w:pPr>
        <w:keepNext/>
        <w:keepLines/>
        <w:spacing w:before="240" w:after="0" w:line="259" w:lineRule="auto"/>
        <w:jc w:val="both"/>
        <w:outlineLvl w:val="0"/>
        <w:rPr>
          <w:rFonts w:ascii="Times New Roman" w:eastAsia="Times New Roman" w:hAnsi="Times New Roman" w:cs="Times New Roman"/>
          <w:b/>
          <w:sz w:val="24"/>
          <w:szCs w:val="24"/>
          <w:lang w:val="en-GB"/>
        </w:rPr>
      </w:pPr>
      <w:r w:rsidRPr="00893F33">
        <w:rPr>
          <w:rFonts w:ascii="Times New Roman" w:eastAsia="Times New Roman" w:hAnsi="Times New Roman" w:cs="Times New Roman"/>
          <w:b/>
          <w:sz w:val="24"/>
          <w:szCs w:val="24"/>
          <w:lang w:val="en-GB"/>
        </w:rPr>
        <w:t>Themes and Literature</w:t>
      </w:r>
    </w:p>
    <w:p w14:paraId="26EFDFAC" w14:textId="77777777" w:rsidR="00893F33" w:rsidRPr="00893F33" w:rsidRDefault="00893F33" w:rsidP="00893F33">
      <w:pPr>
        <w:spacing w:after="160" w:line="259" w:lineRule="auto"/>
        <w:jc w:val="both"/>
        <w:rPr>
          <w:rFonts w:ascii="Times New Roman" w:eastAsia="Calibri" w:hAnsi="Times New Roman" w:cs="Times New Roman"/>
          <w:sz w:val="24"/>
          <w:szCs w:val="24"/>
          <w:lang w:val="en-GB"/>
        </w:rPr>
      </w:pPr>
    </w:p>
    <w:p w14:paraId="5B6480B5"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b/>
          <w:sz w:val="24"/>
          <w:szCs w:val="24"/>
          <w:lang w:val="en-GB"/>
        </w:rPr>
        <w:t xml:space="preserve">Rule of law vs. </w:t>
      </w:r>
      <w:proofErr w:type="spellStart"/>
      <w:r w:rsidRPr="00893F33">
        <w:rPr>
          <w:rFonts w:ascii="Times New Roman" w:eastAsia="Calibri" w:hAnsi="Times New Roman" w:cs="Times New Roman"/>
          <w:b/>
          <w:sz w:val="24"/>
          <w:szCs w:val="24"/>
          <w:lang w:val="en-GB"/>
        </w:rPr>
        <w:t>Rechtsstaat</w:t>
      </w:r>
      <w:proofErr w:type="spellEnd"/>
      <w:r w:rsidRPr="00893F33">
        <w:rPr>
          <w:rFonts w:ascii="Times New Roman" w:eastAsia="Calibri" w:hAnsi="Times New Roman" w:cs="Times New Roman"/>
          <w:b/>
          <w:sz w:val="24"/>
          <w:szCs w:val="24"/>
          <w:lang w:val="en-GB"/>
        </w:rPr>
        <w:t xml:space="preserve"> (vs. </w:t>
      </w:r>
      <w:proofErr w:type="spellStart"/>
      <w:r w:rsidRPr="00893F33">
        <w:rPr>
          <w:rFonts w:ascii="Times New Roman" w:eastAsia="Calibri" w:hAnsi="Times New Roman" w:cs="Times New Roman"/>
          <w:b/>
          <w:sz w:val="24"/>
          <w:szCs w:val="24"/>
          <w:lang w:val="en-GB"/>
        </w:rPr>
        <w:t>l’etat</w:t>
      </w:r>
      <w:proofErr w:type="spellEnd"/>
      <w:r w:rsidRPr="00893F33">
        <w:rPr>
          <w:rFonts w:ascii="Times New Roman" w:eastAsia="Calibri" w:hAnsi="Times New Roman" w:cs="Times New Roman"/>
          <w:b/>
          <w:sz w:val="24"/>
          <w:szCs w:val="24"/>
          <w:lang w:val="en-GB"/>
        </w:rPr>
        <w:t xml:space="preserve"> de droit)</w:t>
      </w:r>
    </w:p>
    <w:p w14:paraId="39AA7493"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5B46F68E"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McLoughlin, Martin (2010): </w:t>
      </w:r>
      <w:r w:rsidRPr="00893F33">
        <w:rPr>
          <w:rFonts w:ascii="Times New Roman" w:eastAsia="Calibri" w:hAnsi="Times New Roman" w:cs="Times New Roman"/>
          <w:i/>
          <w:iCs/>
          <w:sz w:val="24"/>
          <w:szCs w:val="24"/>
          <w:lang w:val="en-GB"/>
        </w:rPr>
        <w:t>The Foundations of Public Law</w:t>
      </w:r>
      <w:r w:rsidRPr="00893F33">
        <w:rPr>
          <w:rFonts w:ascii="Times New Roman" w:eastAsia="Calibri" w:hAnsi="Times New Roman" w:cs="Times New Roman"/>
          <w:sz w:val="24"/>
          <w:szCs w:val="24"/>
          <w:lang w:val="en-GB"/>
        </w:rPr>
        <w:t>. Oxford University Press, Oxford. pp. 312-342. (The Chapter “</w:t>
      </w:r>
      <w:proofErr w:type="spellStart"/>
      <w:r w:rsidRPr="00893F33">
        <w:rPr>
          <w:rFonts w:ascii="Times New Roman" w:eastAsia="Calibri" w:hAnsi="Times New Roman" w:cs="Times New Roman"/>
          <w:sz w:val="24"/>
          <w:szCs w:val="24"/>
          <w:lang w:val="en-GB"/>
        </w:rPr>
        <w:t>Rechtstaat</w:t>
      </w:r>
      <w:proofErr w:type="spellEnd"/>
      <w:r w:rsidRPr="00893F33">
        <w:rPr>
          <w:rFonts w:ascii="Times New Roman" w:eastAsia="Calibri" w:hAnsi="Times New Roman" w:cs="Times New Roman"/>
          <w:sz w:val="24"/>
          <w:szCs w:val="24"/>
          <w:lang w:val="en-GB"/>
        </w:rPr>
        <w:t xml:space="preserve">, Rule of Law, </w:t>
      </w:r>
      <w:proofErr w:type="spellStart"/>
      <w:r w:rsidRPr="00893F33">
        <w:rPr>
          <w:rFonts w:ascii="Times New Roman" w:eastAsia="Calibri" w:hAnsi="Times New Roman" w:cs="Times New Roman"/>
          <w:sz w:val="24"/>
          <w:szCs w:val="24"/>
          <w:lang w:val="en-GB"/>
        </w:rPr>
        <w:t>l’Etat</w:t>
      </w:r>
      <w:proofErr w:type="spellEnd"/>
      <w:r w:rsidRPr="00893F33">
        <w:rPr>
          <w:rFonts w:ascii="Times New Roman" w:eastAsia="Calibri" w:hAnsi="Times New Roman" w:cs="Times New Roman"/>
          <w:sz w:val="24"/>
          <w:szCs w:val="24"/>
          <w:lang w:val="en-GB"/>
        </w:rPr>
        <w:t xml:space="preserve"> de droit”)</w:t>
      </w:r>
    </w:p>
    <w:p w14:paraId="4C6D868B"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 xml:space="preserve">Recommended reading: </w:t>
      </w:r>
    </w:p>
    <w:p w14:paraId="20CF5DFC"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Tamanaha</w:t>
      </w:r>
      <w:proofErr w:type="spellEnd"/>
      <w:r w:rsidRPr="00893F33">
        <w:rPr>
          <w:rFonts w:ascii="Times New Roman" w:eastAsia="Calibri" w:hAnsi="Times New Roman" w:cs="Times New Roman"/>
          <w:sz w:val="24"/>
          <w:szCs w:val="24"/>
          <w:lang w:val="en-GB"/>
        </w:rPr>
        <w:t xml:space="preserve">, Brian Z. (2004): </w:t>
      </w:r>
      <w:r w:rsidRPr="00893F33">
        <w:rPr>
          <w:rFonts w:ascii="Times New Roman" w:eastAsia="Calibri" w:hAnsi="Times New Roman" w:cs="Times New Roman"/>
          <w:i/>
          <w:iCs/>
          <w:sz w:val="24"/>
          <w:szCs w:val="24"/>
          <w:lang w:val="en-GB"/>
        </w:rPr>
        <w:t>On the Rule of Law. History, Politics, Theory</w:t>
      </w:r>
      <w:r w:rsidRPr="00893F33">
        <w:rPr>
          <w:rFonts w:ascii="Times New Roman" w:eastAsia="Calibri" w:hAnsi="Times New Roman" w:cs="Times New Roman"/>
          <w:sz w:val="24"/>
          <w:szCs w:val="24"/>
          <w:lang w:val="en-GB"/>
        </w:rPr>
        <w:t>. Oxford University Press, Oxford. pp. 47-73. (The chapters “Locke, Montesquieu, the Federalist Papers” and “Conservatives Warn”)</w:t>
      </w:r>
    </w:p>
    <w:p w14:paraId="4E555E11"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Böckenförde</w:t>
      </w:r>
      <w:proofErr w:type="spellEnd"/>
      <w:r w:rsidRPr="00893F33">
        <w:rPr>
          <w:rFonts w:ascii="Times New Roman" w:eastAsia="Calibri" w:hAnsi="Times New Roman" w:cs="Times New Roman"/>
          <w:sz w:val="24"/>
          <w:szCs w:val="24"/>
        </w:rPr>
        <w:t xml:space="preserve">, Ernst Wolfgang (1991): </w:t>
      </w:r>
      <w:r w:rsidRPr="00893F33">
        <w:rPr>
          <w:rFonts w:ascii="Times New Roman" w:eastAsia="Calibri" w:hAnsi="Times New Roman" w:cs="Times New Roman"/>
          <w:i/>
          <w:iCs/>
          <w:sz w:val="24"/>
          <w:szCs w:val="24"/>
        </w:rPr>
        <w:t xml:space="preserve">The Origin and Development of the Concept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sz w:val="24"/>
          <w:szCs w:val="24"/>
        </w:rPr>
        <w:t xml:space="preserve">. in: </w:t>
      </w:r>
      <w:proofErr w:type="spellStart"/>
      <w:r w:rsidRPr="00893F33">
        <w:rPr>
          <w:rFonts w:ascii="Times New Roman" w:eastAsia="Calibri" w:hAnsi="Times New Roman" w:cs="Times New Roman"/>
          <w:sz w:val="24"/>
          <w:szCs w:val="24"/>
        </w:rPr>
        <w:t>Böckenförde</w:t>
      </w:r>
      <w:proofErr w:type="spellEnd"/>
      <w:r w:rsidRPr="00893F33">
        <w:rPr>
          <w:rFonts w:ascii="Times New Roman" w:eastAsia="Calibri" w:hAnsi="Times New Roman" w:cs="Times New Roman"/>
          <w:sz w:val="24"/>
          <w:szCs w:val="24"/>
        </w:rPr>
        <w:t xml:space="preserve">, Ernst Wolfgang: State, Society and Liberty. Studies in Political Theory and Constitutional Law. Berg, New York. pp. 47-70. </w:t>
      </w:r>
    </w:p>
    <w:p w14:paraId="3C06A3FE"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5CE1DBD"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2F57CD07"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56615890"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F8F700A" w14:textId="77777777" w:rsid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
    <w:p w14:paraId="6CCA26C4" w14:textId="77777777" w:rsidR="00893F33" w:rsidRPr="00893F33" w:rsidRDefault="00893F33" w:rsidP="00893F33">
      <w:pPr>
        <w:spacing w:before="120" w:after="12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Laqiueze</w:t>
      </w:r>
      <w:proofErr w:type="spellEnd"/>
      <w:r w:rsidRPr="00893F33">
        <w:rPr>
          <w:rFonts w:ascii="Times New Roman" w:eastAsia="Calibri" w:hAnsi="Times New Roman" w:cs="Times New Roman"/>
          <w:sz w:val="24"/>
          <w:szCs w:val="24"/>
        </w:rPr>
        <w:t xml:space="preserve">, Alain (2007): </w:t>
      </w:r>
      <w:proofErr w:type="spellStart"/>
      <w:r w:rsidRPr="00893F33">
        <w:rPr>
          <w:rFonts w:ascii="Times New Roman" w:eastAsia="Calibri" w:hAnsi="Times New Roman" w:cs="Times New Roman"/>
          <w:i/>
          <w:iCs/>
          <w:sz w:val="24"/>
          <w:szCs w:val="24"/>
        </w:rPr>
        <w:t>État</w:t>
      </w:r>
      <w:proofErr w:type="spellEnd"/>
      <w:r w:rsidRPr="00893F33">
        <w:rPr>
          <w:rFonts w:ascii="Times New Roman" w:eastAsia="Calibri" w:hAnsi="Times New Roman" w:cs="Times New Roman"/>
          <w:i/>
          <w:iCs/>
          <w:sz w:val="24"/>
          <w:szCs w:val="24"/>
        </w:rPr>
        <w:t xml:space="preserve"> de Droit and the National Sovereignty in France</w:t>
      </w:r>
      <w:r w:rsidRPr="00893F33">
        <w:rPr>
          <w:rFonts w:ascii="Times New Roman" w:eastAsia="Calibri" w:hAnsi="Times New Roman" w:cs="Times New Roman"/>
          <w:sz w:val="24"/>
          <w:szCs w:val="24"/>
        </w:rPr>
        <w:t xml:space="preserve">. In: Costa, Pietro; </w:t>
      </w:r>
      <w:proofErr w:type="spellStart"/>
      <w:r w:rsidRPr="00893F33">
        <w:rPr>
          <w:rFonts w:ascii="Times New Roman" w:eastAsia="Calibri" w:hAnsi="Times New Roman" w:cs="Times New Roman"/>
          <w:sz w:val="24"/>
          <w:szCs w:val="24"/>
        </w:rPr>
        <w:t>Zolo</w:t>
      </w:r>
      <w:proofErr w:type="spellEnd"/>
      <w:r w:rsidRPr="00893F33">
        <w:rPr>
          <w:rFonts w:ascii="Times New Roman" w:eastAsia="Calibri" w:hAnsi="Times New Roman" w:cs="Times New Roman"/>
          <w:sz w:val="24"/>
          <w:szCs w:val="24"/>
        </w:rPr>
        <w:t>, Danilo (</w:t>
      </w:r>
      <w:proofErr w:type="spellStart"/>
      <w:r w:rsidRPr="00893F33">
        <w:rPr>
          <w:rFonts w:ascii="Times New Roman" w:eastAsia="Calibri" w:hAnsi="Times New Roman" w:cs="Times New Roman"/>
          <w:sz w:val="24"/>
          <w:szCs w:val="24"/>
        </w:rPr>
        <w:t>eds</w:t>
      </w:r>
      <w:proofErr w:type="spellEnd"/>
      <w:r w:rsidRPr="00893F33">
        <w:rPr>
          <w:rFonts w:ascii="Times New Roman" w:eastAsia="Calibri" w:hAnsi="Times New Roman" w:cs="Times New Roman"/>
          <w:sz w:val="24"/>
          <w:szCs w:val="24"/>
        </w:rPr>
        <w:t>). The Rule of Law. History, Theory and Criticism. Springer, London. pp. 261-293.</w:t>
      </w:r>
    </w:p>
    <w:p w14:paraId="223E2637"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454CCCF1"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Thick vs. Thin: Is Rule of Law a Formal or Substantial Concept?</w:t>
      </w:r>
    </w:p>
    <w:p w14:paraId="2E5F25E6"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33DB50F" w14:textId="77777777" w:rsidR="00127AF6" w:rsidRPr="00893F33" w:rsidRDefault="00893F33" w:rsidP="00127AF6">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Raz, Joseph (1983): The Rule of Law and its Virtue. In: Raz, Joseph: The Authority of Law. Oxford University Press, Oxford. pp. 208-227.</w:t>
      </w:r>
    </w:p>
    <w:p w14:paraId="4157C562"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5F3C1EA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Tamaha</w:t>
      </w:r>
      <w:proofErr w:type="spellEnd"/>
      <w:r w:rsidRPr="00893F33">
        <w:rPr>
          <w:rFonts w:ascii="Times New Roman" w:eastAsia="Calibri" w:hAnsi="Times New Roman" w:cs="Times New Roman"/>
          <w:sz w:val="24"/>
          <w:szCs w:val="24"/>
          <w:lang w:val="en-GB"/>
        </w:rPr>
        <w:t xml:space="preserve">, Brian Z. (2004): </w:t>
      </w:r>
      <w:r w:rsidRPr="00893F33">
        <w:rPr>
          <w:rFonts w:ascii="Times New Roman" w:eastAsia="Calibri" w:hAnsi="Times New Roman" w:cs="Times New Roman"/>
          <w:i/>
          <w:iCs/>
          <w:sz w:val="24"/>
          <w:szCs w:val="24"/>
          <w:lang w:val="en-GB"/>
        </w:rPr>
        <w:t>On the Rule of Law. History, Politics, Theory</w:t>
      </w:r>
      <w:r w:rsidRPr="00893F33">
        <w:rPr>
          <w:rFonts w:ascii="Times New Roman" w:eastAsia="Calibri" w:hAnsi="Times New Roman" w:cs="Times New Roman"/>
          <w:sz w:val="24"/>
          <w:szCs w:val="24"/>
          <w:lang w:val="en-GB"/>
        </w:rPr>
        <w:t>. Oxford University Press, Oxford. pp. 47-73. (the chapters “Formal Theories” and “Substantial Theories”)</w:t>
      </w:r>
    </w:p>
    <w:p w14:paraId="20702B7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Bingham, Thomas (2011): </w:t>
      </w:r>
      <w:r w:rsidRPr="00893F33">
        <w:rPr>
          <w:rFonts w:ascii="Times New Roman" w:eastAsia="Calibri" w:hAnsi="Times New Roman" w:cs="Times New Roman"/>
          <w:i/>
          <w:iCs/>
          <w:sz w:val="24"/>
          <w:szCs w:val="24"/>
          <w:lang w:val="en-GB"/>
        </w:rPr>
        <w:t>The Rule of Law.</w:t>
      </w:r>
      <w:r w:rsidRPr="00893F33">
        <w:rPr>
          <w:rFonts w:ascii="Times New Roman" w:eastAsia="Calibri" w:hAnsi="Times New Roman" w:cs="Times New Roman"/>
          <w:sz w:val="24"/>
          <w:szCs w:val="24"/>
          <w:lang w:val="en-GB"/>
        </w:rPr>
        <w:t xml:space="preserve"> Penguin, London. </w:t>
      </w:r>
    </w:p>
    <w:p w14:paraId="0A40E67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6D69329"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Rules vs. Rights: Does Rule of Law Imply the Protection of Fundamental Rights?</w:t>
      </w:r>
    </w:p>
    <w:p w14:paraId="20D8789E"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B980E75"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Dworkin, Ronald (1978): </w:t>
      </w:r>
      <w:r w:rsidRPr="00893F33">
        <w:rPr>
          <w:rFonts w:ascii="Times New Roman" w:eastAsia="Calibri" w:hAnsi="Times New Roman" w:cs="Times New Roman"/>
          <w:i/>
          <w:iCs/>
          <w:sz w:val="24"/>
          <w:szCs w:val="24"/>
          <w:lang w:val="en-GB"/>
        </w:rPr>
        <w:t>Political Judges and the Rule of Law.</w:t>
      </w:r>
      <w:r w:rsidRPr="00893F33">
        <w:rPr>
          <w:rFonts w:ascii="Times New Roman" w:eastAsia="Calibri" w:hAnsi="Times New Roman" w:cs="Times New Roman"/>
          <w:sz w:val="24"/>
          <w:szCs w:val="24"/>
          <w:lang w:val="en-GB"/>
        </w:rPr>
        <w:t xml:space="preserve"> in: Proceedings of the British Academy. pp. 248-271. </w:t>
      </w:r>
    </w:p>
    <w:p w14:paraId="036F55CE"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613B754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Grimm, Dieter (2007): </w:t>
      </w:r>
      <w:r w:rsidRPr="00893F33">
        <w:rPr>
          <w:rFonts w:ascii="Times New Roman" w:eastAsia="Calibri" w:hAnsi="Times New Roman" w:cs="Times New Roman"/>
          <w:i/>
          <w:iCs/>
          <w:sz w:val="24"/>
          <w:szCs w:val="24"/>
          <w:lang w:val="en-GB"/>
        </w:rPr>
        <w:t>The Interpretation of Fundamental Rights by the German Constitutional Court</w:t>
      </w:r>
      <w:r w:rsidRPr="00893F33">
        <w:rPr>
          <w:rFonts w:ascii="Times New Roman" w:eastAsia="Calibri" w:hAnsi="Times New Roman" w:cs="Times New Roman"/>
          <w:sz w:val="24"/>
          <w:szCs w:val="24"/>
          <w:lang w:val="en-GB"/>
        </w:rPr>
        <w:t xml:space="preserve">. </w:t>
      </w:r>
      <w:proofErr w:type="gramStart"/>
      <w:r w:rsidRPr="00893F33">
        <w:rPr>
          <w:rFonts w:ascii="Times New Roman" w:eastAsia="Calibri" w:hAnsi="Times New Roman" w:cs="Times New Roman"/>
          <w:sz w:val="24"/>
          <w:szCs w:val="24"/>
          <w:lang w:val="en-GB"/>
        </w:rPr>
        <w:t>in</w:t>
      </w:r>
      <w:proofErr w:type="gramEnd"/>
      <w:r w:rsidRPr="00893F33">
        <w:rPr>
          <w:rFonts w:ascii="Times New Roman" w:eastAsia="Calibri" w:hAnsi="Times New Roman" w:cs="Times New Roman"/>
          <w:sz w:val="24"/>
          <w:szCs w:val="24"/>
          <w:lang w:val="en-GB"/>
        </w:rPr>
        <w:t xml:space="preserve">: Grimm, Dieter: Constitutionalism. Past, Present, Future. Oxford University Press, Oxford. pp. 345-357. </w:t>
      </w:r>
    </w:p>
    <w:p w14:paraId="410E525F"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D7AE7D8"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The Weimar Republic and its Dissolution</w:t>
      </w:r>
    </w:p>
    <w:p w14:paraId="4F1D216F" w14:textId="77777777" w:rsidR="00893F33" w:rsidRPr="00893F33" w:rsidRDefault="00893F33" w:rsidP="00893F33">
      <w:pPr>
        <w:spacing w:after="160" w:line="259" w:lineRule="auto"/>
        <w:ind w:left="720"/>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 xml:space="preserve">(Guest lecturer: Zoltan </w:t>
      </w:r>
      <w:proofErr w:type="spellStart"/>
      <w:r w:rsidRPr="00893F33">
        <w:rPr>
          <w:rFonts w:ascii="Times New Roman" w:eastAsia="Calibri" w:hAnsi="Times New Roman" w:cs="Times New Roman"/>
          <w:b/>
          <w:sz w:val="24"/>
          <w:szCs w:val="24"/>
          <w:lang w:val="en-GB"/>
        </w:rPr>
        <w:t>Szente</w:t>
      </w:r>
      <w:proofErr w:type="spellEnd"/>
      <w:r w:rsidRPr="00893F33">
        <w:rPr>
          <w:rFonts w:ascii="Times New Roman" w:eastAsia="Calibri" w:hAnsi="Times New Roman" w:cs="Times New Roman"/>
          <w:b/>
          <w:sz w:val="24"/>
          <w:szCs w:val="24"/>
          <w:lang w:val="en-GB"/>
        </w:rPr>
        <w:t>, Professor of Constitutional Law, National University of Administration- TBC)</w:t>
      </w:r>
    </w:p>
    <w:p w14:paraId="2B98829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p>
    <w:p w14:paraId="14D741A3"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0FDCF1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Fraenkel, Ernst (1941/2017): </w:t>
      </w:r>
      <w:r w:rsidRPr="00893F33">
        <w:rPr>
          <w:rFonts w:ascii="Times New Roman" w:eastAsia="Calibri" w:hAnsi="Times New Roman" w:cs="Times New Roman"/>
          <w:i/>
          <w:iCs/>
          <w:sz w:val="24"/>
          <w:szCs w:val="24"/>
          <w:lang w:val="en-GB"/>
        </w:rPr>
        <w:t>The Dual State. A Contribution to the Theory of Dictatorship</w:t>
      </w:r>
      <w:r w:rsidRPr="00893F33">
        <w:rPr>
          <w:rFonts w:ascii="Times New Roman" w:eastAsia="Calibri" w:hAnsi="Times New Roman" w:cs="Times New Roman"/>
          <w:sz w:val="24"/>
          <w:szCs w:val="24"/>
          <w:lang w:val="en-GB"/>
        </w:rPr>
        <w:t xml:space="preserve">. Oxford University Press, Oxford. pp.  3-101. (“Part I. The Legal System of the Dual State”) </w:t>
      </w:r>
    </w:p>
    <w:p w14:paraId="43FDE2F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i/>
          <w:iCs/>
          <w:sz w:val="24"/>
          <w:szCs w:val="24"/>
          <w:u w:val="single"/>
          <w:lang w:val="en-GB"/>
        </w:rPr>
        <w:t>Recommended reading</w:t>
      </w:r>
      <w:r w:rsidRPr="00893F33">
        <w:rPr>
          <w:rFonts w:ascii="Times New Roman" w:eastAsia="Calibri" w:hAnsi="Times New Roman" w:cs="Times New Roman"/>
          <w:sz w:val="24"/>
          <w:szCs w:val="24"/>
          <w:lang w:val="en-GB"/>
        </w:rPr>
        <w:t xml:space="preserve">: </w:t>
      </w:r>
    </w:p>
    <w:p w14:paraId="7DF9207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xml:space="preserve">, Jens (2018): </w:t>
      </w:r>
      <w:r w:rsidRPr="00893F33">
        <w:rPr>
          <w:rFonts w:ascii="Times New Roman" w:eastAsia="Calibri" w:hAnsi="Times New Roman" w:cs="Times New Roman"/>
          <w:i/>
          <w:iCs/>
          <w:sz w:val="24"/>
          <w:szCs w:val="24"/>
        </w:rPr>
        <w:t xml:space="preserve">The Remnants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i/>
          <w:iCs/>
          <w:sz w:val="24"/>
          <w:szCs w:val="24"/>
        </w:rPr>
        <w:t>. An Ethnography of Nazi Law</w:t>
      </w:r>
      <w:r w:rsidRPr="00893F33">
        <w:rPr>
          <w:rFonts w:ascii="Times New Roman" w:eastAsia="Calibri" w:hAnsi="Times New Roman" w:cs="Times New Roman"/>
          <w:sz w:val="24"/>
          <w:szCs w:val="24"/>
        </w:rPr>
        <w:t xml:space="preserve">. Oxford University Press, Oxford. pp. 95-159. (The chapter “The Debate About the </w:t>
      </w:r>
      <w:proofErr w:type="spellStart"/>
      <w:r w:rsidRPr="00893F33">
        <w:rPr>
          <w:rFonts w:ascii="Times New Roman" w:eastAsia="Calibri" w:hAnsi="Times New Roman" w:cs="Times New Roman"/>
          <w:sz w:val="24"/>
          <w:szCs w:val="24"/>
        </w:rPr>
        <w:t>Rechtsstaat</w:t>
      </w:r>
      <w:proofErr w:type="spellEnd"/>
      <w:r w:rsidRPr="00893F33">
        <w:rPr>
          <w:rFonts w:ascii="Times New Roman" w:eastAsia="Calibri" w:hAnsi="Times New Roman" w:cs="Times New Roman"/>
          <w:sz w:val="24"/>
          <w:szCs w:val="24"/>
        </w:rPr>
        <w:t xml:space="preserve"> in Nazi Germany”)</w:t>
      </w:r>
    </w:p>
    <w:p w14:paraId="595FE719"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4F3190CF"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Rule of Law vs. Democracy: Is Rule of Law Compatible with Democracy?</w:t>
      </w:r>
    </w:p>
    <w:p w14:paraId="3B8D302A"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327D825E"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Schmitt, Carl (2008): </w:t>
      </w:r>
      <w:r w:rsidRPr="00893F33">
        <w:rPr>
          <w:rFonts w:ascii="Times New Roman" w:eastAsia="Calibri" w:hAnsi="Times New Roman" w:cs="Times New Roman"/>
          <w:i/>
          <w:iCs/>
          <w:sz w:val="24"/>
          <w:szCs w:val="24"/>
          <w:lang w:val="en-GB"/>
        </w:rPr>
        <w:t>Constitutional Theory</w:t>
      </w:r>
      <w:r w:rsidRPr="00893F33">
        <w:rPr>
          <w:rFonts w:ascii="Times New Roman" w:eastAsia="Calibri" w:hAnsi="Times New Roman" w:cs="Times New Roman"/>
          <w:sz w:val="24"/>
          <w:szCs w:val="24"/>
          <w:lang w:val="en-GB"/>
        </w:rPr>
        <w:t xml:space="preserve">. Duke University Press, Durham. pp. 167-249. (selected sections) (“Part II. The </w:t>
      </w:r>
      <w:proofErr w:type="spellStart"/>
      <w:r w:rsidRPr="00893F33">
        <w:rPr>
          <w:rFonts w:ascii="Times New Roman" w:eastAsia="Calibri" w:hAnsi="Times New Roman" w:cs="Times New Roman"/>
          <w:sz w:val="24"/>
          <w:szCs w:val="24"/>
          <w:lang w:val="en-GB"/>
        </w:rPr>
        <w:t>Rechtsstaat</w:t>
      </w:r>
      <w:proofErr w:type="spellEnd"/>
      <w:r w:rsidRPr="00893F33">
        <w:rPr>
          <w:rFonts w:ascii="Times New Roman" w:eastAsia="Calibri" w:hAnsi="Times New Roman" w:cs="Times New Roman"/>
          <w:sz w:val="24"/>
          <w:szCs w:val="24"/>
          <w:lang w:val="en-GB"/>
        </w:rPr>
        <w:t xml:space="preserve"> Component of the Modern Constitution”)</w:t>
      </w:r>
    </w:p>
    <w:p w14:paraId="13FF1217"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B65A9D6"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46315A66"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6E65C4DB"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13E028A"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52F44112"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F7140AD" w14:textId="77777777" w:rsid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Schmitt, Carl (2004): Legality and Legitimacy. Duke University Press, Durham. pp. (The chapters “The Legislative State and the Concept of Law” and “Legality and the Equal Chance for Achieving Political Power”)</w:t>
      </w:r>
    </w:p>
    <w:p w14:paraId="36CB37B1" w14:textId="77777777" w:rsidR="00127AF6" w:rsidRPr="00127AF6" w:rsidRDefault="00127AF6" w:rsidP="00127AF6">
      <w:pPr>
        <w:spacing w:after="0"/>
        <w:ind w:left="708"/>
        <w:jc w:val="both"/>
        <w:rPr>
          <w:rFonts w:ascii="Times" w:hAnsi="Times"/>
          <w:sz w:val="24"/>
          <w:szCs w:val="24"/>
        </w:rPr>
      </w:pPr>
      <w:r w:rsidRPr="00127AF6">
        <w:rPr>
          <w:rFonts w:ascii="Times" w:hAnsi="Times"/>
          <w:sz w:val="24"/>
          <w:szCs w:val="24"/>
        </w:rPr>
        <w:t xml:space="preserve">Heller, Hermann (1934;2000): The Essence and Structure of the State. </w:t>
      </w:r>
      <w:proofErr w:type="gramStart"/>
      <w:r w:rsidRPr="00127AF6">
        <w:rPr>
          <w:rFonts w:ascii="Times" w:hAnsi="Times"/>
          <w:sz w:val="24"/>
          <w:szCs w:val="24"/>
        </w:rPr>
        <w:t>in</w:t>
      </w:r>
      <w:proofErr w:type="gramEnd"/>
      <w:r w:rsidRPr="00127AF6">
        <w:rPr>
          <w:rFonts w:ascii="Times" w:hAnsi="Times"/>
          <w:sz w:val="24"/>
          <w:szCs w:val="24"/>
        </w:rPr>
        <w:t xml:space="preserve">: Jacobson, Arthur J.; </w:t>
      </w:r>
      <w:proofErr w:type="spellStart"/>
      <w:r w:rsidRPr="00127AF6">
        <w:rPr>
          <w:rFonts w:ascii="Times" w:hAnsi="Times"/>
          <w:sz w:val="24"/>
          <w:szCs w:val="24"/>
        </w:rPr>
        <w:t>Schlink</w:t>
      </w:r>
      <w:proofErr w:type="spellEnd"/>
      <w:r w:rsidRPr="00127AF6">
        <w:rPr>
          <w:rFonts w:ascii="Times" w:hAnsi="Times"/>
          <w:sz w:val="24"/>
          <w:szCs w:val="24"/>
        </w:rPr>
        <w:t xml:space="preserve">, Bernhard (eds.): Weimar. A </w:t>
      </w:r>
      <w:proofErr w:type="spellStart"/>
      <w:r w:rsidRPr="00127AF6">
        <w:rPr>
          <w:rFonts w:ascii="Times" w:hAnsi="Times"/>
          <w:sz w:val="24"/>
          <w:szCs w:val="24"/>
        </w:rPr>
        <w:t>Jurisprundence</w:t>
      </w:r>
      <w:proofErr w:type="spellEnd"/>
      <w:r w:rsidRPr="00127AF6">
        <w:rPr>
          <w:rFonts w:ascii="Times" w:hAnsi="Times"/>
          <w:sz w:val="24"/>
          <w:szCs w:val="24"/>
        </w:rPr>
        <w:t xml:space="preserve"> in Crisis. University of California Press, Berkeley. pp. 265-279.</w:t>
      </w:r>
    </w:p>
    <w:p w14:paraId="2D244B1B"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6462216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Griffith, John (1979): </w:t>
      </w:r>
      <w:r w:rsidRPr="00893F33">
        <w:rPr>
          <w:rFonts w:ascii="Times New Roman" w:eastAsia="Calibri" w:hAnsi="Times New Roman" w:cs="Times New Roman"/>
          <w:i/>
          <w:iCs/>
          <w:sz w:val="24"/>
          <w:szCs w:val="24"/>
          <w:lang w:val="en-GB"/>
        </w:rPr>
        <w:t>The Political Constitution</w:t>
      </w:r>
      <w:r w:rsidRPr="00893F33">
        <w:rPr>
          <w:rFonts w:ascii="Times New Roman" w:eastAsia="Calibri" w:hAnsi="Times New Roman" w:cs="Times New Roman"/>
          <w:sz w:val="24"/>
          <w:szCs w:val="24"/>
          <w:lang w:val="en-GB"/>
        </w:rPr>
        <w:t>. in: Modern Law Review, Vol. 41 pp. 1-21.</w:t>
      </w:r>
    </w:p>
    <w:p w14:paraId="23A92B8A"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2BF817EA" w14:textId="77777777" w:rsidR="00CB0289" w:rsidRDefault="00CB0289" w:rsidP="00CB0289">
      <w:pPr>
        <w:numPr>
          <w:ilvl w:val="0"/>
          <w:numId w:val="6"/>
        </w:numPr>
        <w:spacing w:after="160" w:line="259" w:lineRule="auto"/>
        <w:contextualSpacing/>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Rule of Law vs. Populism. Is Populism a Threat to the Rule of Law?</w:t>
      </w:r>
    </w:p>
    <w:p w14:paraId="67BA2A1F" w14:textId="77777777" w:rsidR="00CB0289" w:rsidRDefault="00CB0289" w:rsidP="00CB0289">
      <w:pPr>
        <w:spacing w:after="0" w:line="259" w:lineRule="auto"/>
        <w:ind w:left="360" w:firstLine="348"/>
        <w:jc w:val="both"/>
        <w:rPr>
          <w:rFonts w:ascii="Times New Roman" w:eastAsia="Calibri" w:hAnsi="Times New Roman" w:cs="Times New Roman"/>
          <w:i/>
          <w:sz w:val="24"/>
          <w:szCs w:val="24"/>
          <w:u w:val="single"/>
          <w:lang w:val="en-GB"/>
        </w:rPr>
      </w:pPr>
      <w:r w:rsidRPr="00127AF6">
        <w:rPr>
          <w:rFonts w:ascii="Times New Roman" w:eastAsia="Calibri" w:hAnsi="Times New Roman" w:cs="Times New Roman"/>
          <w:i/>
          <w:sz w:val="24"/>
          <w:szCs w:val="24"/>
          <w:u w:val="single"/>
          <w:lang w:val="en-GB"/>
        </w:rPr>
        <w:t>Required reading:</w:t>
      </w:r>
    </w:p>
    <w:p w14:paraId="6BEED75A" w14:textId="77777777" w:rsidR="00CB0289" w:rsidRDefault="00CB0289" w:rsidP="00CB0289">
      <w:pPr>
        <w:spacing w:after="0" w:line="259" w:lineRule="auto"/>
        <w:ind w:left="708"/>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Lacey, Nicola (2019): Populism and the Rule of Law. in: Annual Review of Law and Social Science Vol. 15. pp. 79-96. </w:t>
      </w:r>
    </w:p>
    <w:p w14:paraId="44C88DB5" w14:textId="77777777" w:rsidR="00CB0289" w:rsidRPr="00893F33" w:rsidRDefault="00CB0289" w:rsidP="00CB0289">
      <w:pPr>
        <w:spacing w:after="160" w:line="259" w:lineRule="auto"/>
        <w:ind w:left="720"/>
        <w:contextualSpacing/>
        <w:jc w:val="both"/>
        <w:rPr>
          <w:rFonts w:ascii="Times New Roman" w:eastAsia="Calibri" w:hAnsi="Times New Roman" w:cs="Times New Roman"/>
          <w:i/>
          <w:iCs/>
          <w:sz w:val="24"/>
          <w:szCs w:val="24"/>
          <w:u w:val="single"/>
          <w:lang w:val="en-GB"/>
        </w:rPr>
      </w:pPr>
      <w:r w:rsidRPr="00893F33">
        <w:rPr>
          <w:rFonts w:ascii="Times New Roman" w:eastAsia="Calibri" w:hAnsi="Times New Roman" w:cs="Times New Roman"/>
          <w:i/>
          <w:iCs/>
          <w:sz w:val="24"/>
          <w:szCs w:val="24"/>
          <w:u w:val="single"/>
          <w:lang w:val="en-GB"/>
        </w:rPr>
        <w:t>Recommended reading:</w:t>
      </w:r>
    </w:p>
    <w:p w14:paraId="5CF135E3" w14:textId="77777777" w:rsidR="00997451" w:rsidRPr="00CB0289" w:rsidRDefault="00CB0289" w:rsidP="00997451">
      <w:pPr>
        <w:spacing w:after="160" w:line="259" w:lineRule="auto"/>
        <w:ind w:left="708"/>
        <w:jc w:val="both"/>
        <w:rPr>
          <w:rFonts w:ascii="Times New Roman" w:eastAsia="Calibri" w:hAnsi="Times New Roman" w:cs="Times New Roman"/>
          <w:iCs/>
          <w:sz w:val="24"/>
          <w:szCs w:val="24"/>
        </w:rPr>
      </w:pPr>
      <w:proofErr w:type="spellStart"/>
      <w:r w:rsidRPr="00CB0289">
        <w:rPr>
          <w:rFonts w:ascii="Times New Roman" w:eastAsia="Calibri" w:hAnsi="Times New Roman" w:cs="Times New Roman"/>
          <w:iCs/>
          <w:sz w:val="24"/>
          <w:szCs w:val="24"/>
        </w:rPr>
        <w:t>Gidron</w:t>
      </w:r>
      <w:proofErr w:type="spellEnd"/>
      <w:r w:rsidRPr="00CB0289">
        <w:rPr>
          <w:rFonts w:ascii="Times New Roman" w:eastAsia="Calibri" w:hAnsi="Times New Roman" w:cs="Times New Roman"/>
          <w:iCs/>
          <w:sz w:val="24"/>
          <w:szCs w:val="24"/>
        </w:rPr>
        <w:t xml:space="preserve">, Noam; </w:t>
      </w:r>
      <w:proofErr w:type="spellStart"/>
      <w:r w:rsidRPr="00CB0289">
        <w:rPr>
          <w:rFonts w:ascii="Times New Roman" w:eastAsia="Calibri" w:hAnsi="Times New Roman" w:cs="Times New Roman"/>
          <w:iCs/>
          <w:sz w:val="24"/>
          <w:szCs w:val="24"/>
        </w:rPr>
        <w:t>Bonikowski</w:t>
      </w:r>
      <w:proofErr w:type="spellEnd"/>
      <w:r w:rsidRPr="00CB0289">
        <w:rPr>
          <w:rFonts w:ascii="Times New Roman" w:eastAsia="Calibri" w:hAnsi="Times New Roman" w:cs="Times New Roman"/>
          <w:iCs/>
          <w:sz w:val="24"/>
          <w:szCs w:val="24"/>
        </w:rPr>
        <w:t>, Bart (2013): Varieties of P</w:t>
      </w:r>
      <w:r>
        <w:rPr>
          <w:rFonts w:ascii="Times New Roman" w:eastAsia="Calibri" w:hAnsi="Times New Roman" w:cs="Times New Roman"/>
          <w:iCs/>
          <w:sz w:val="24"/>
          <w:szCs w:val="24"/>
        </w:rPr>
        <w:t xml:space="preserve">opulism. A Literature Review and Research Agenda. </w:t>
      </w:r>
      <w:proofErr w:type="spellStart"/>
      <w:r>
        <w:rPr>
          <w:rFonts w:ascii="Times New Roman" w:eastAsia="Calibri" w:hAnsi="Times New Roman" w:cs="Times New Roman"/>
          <w:iCs/>
          <w:sz w:val="24"/>
          <w:szCs w:val="24"/>
        </w:rPr>
        <w:t>Weatherhead</w:t>
      </w:r>
      <w:proofErr w:type="spellEnd"/>
      <w:r>
        <w:rPr>
          <w:rFonts w:ascii="Times New Roman" w:eastAsia="Calibri" w:hAnsi="Times New Roman" w:cs="Times New Roman"/>
          <w:iCs/>
          <w:sz w:val="24"/>
          <w:szCs w:val="24"/>
        </w:rPr>
        <w:t xml:space="preserve"> Working Paper Series. </w:t>
      </w:r>
      <w:proofErr w:type="spellStart"/>
      <w:r>
        <w:rPr>
          <w:rFonts w:ascii="Times New Roman" w:eastAsia="Calibri" w:hAnsi="Times New Roman" w:cs="Times New Roman"/>
          <w:iCs/>
          <w:sz w:val="24"/>
          <w:szCs w:val="24"/>
        </w:rPr>
        <w:t>Wheatherhead</w:t>
      </w:r>
      <w:proofErr w:type="spellEnd"/>
      <w:r>
        <w:rPr>
          <w:rFonts w:ascii="Times New Roman" w:eastAsia="Calibri" w:hAnsi="Times New Roman" w:cs="Times New Roman"/>
          <w:iCs/>
          <w:sz w:val="24"/>
          <w:szCs w:val="24"/>
        </w:rPr>
        <w:t xml:space="preserve"> Center for International Affairs, Harvard University.</w:t>
      </w:r>
    </w:p>
    <w:p w14:paraId="2CAD3D34"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Emergency Powers in Turkey</w:t>
      </w:r>
    </w:p>
    <w:p w14:paraId="0D11B169"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(Guest Lecturer: Noemi Levy-Aksu, researcher, London School of Economics)</w:t>
      </w:r>
    </w:p>
    <w:p w14:paraId="7ACFC17D"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0F3EC90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TBD</w:t>
      </w:r>
    </w:p>
    <w:p w14:paraId="76B2EBAE" w14:textId="77777777" w:rsidR="00127AF6" w:rsidRPr="00CB0289" w:rsidRDefault="00127AF6" w:rsidP="00127AF6">
      <w:pPr>
        <w:spacing w:after="160" w:line="259" w:lineRule="auto"/>
        <w:ind w:left="720"/>
        <w:contextualSpacing/>
        <w:jc w:val="both"/>
        <w:rPr>
          <w:rFonts w:ascii="Times New Roman" w:eastAsia="Calibri" w:hAnsi="Times New Roman" w:cs="Times New Roman"/>
          <w:b/>
          <w:sz w:val="24"/>
          <w:szCs w:val="24"/>
        </w:rPr>
      </w:pPr>
    </w:p>
    <w:p w14:paraId="49085FC2" w14:textId="77777777" w:rsidR="00CB0289" w:rsidRDefault="00CB0289" w:rsidP="00997451">
      <w:pPr>
        <w:numPr>
          <w:ilvl w:val="0"/>
          <w:numId w:val="6"/>
        </w:numPr>
        <w:spacing w:after="0" w:line="259" w:lineRule="auto"/>
        <w:contextualSpacing/>
        <w:jc w:val="both"/>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Rule of Law vs. Constitutionalism. Does the Rule of Law </w:t>
      </w:r>
      <w:r w:rsidR="00997451">
        <w:rPr>
          <w:rFonts w:ascii="Times New Roman" w:eastAsia="Calibri" w:hAnsi="Times New Roman" w:cs="Times New Roman"/>
          <w:b/>
          <w:sz w:val="24"/>
          <w:szCs w:val="24"/>
          <w:lang w:val="en-GB"/>
        </w:rPr>
        <w:t xml:space="preserve">Equals </w:t>
      </w:r>
      <w:r>
        <w:rPr>
          <w:rFonts w:ascii="Times New Roman" w:eastAsia="Calibri" w:hAnsi="Times New Roman" w:cs="Times New Roman"/>
          <w:b/>
          <w:sz w:val="24"/>
          <w:szCs w:val="24"/>
          <w:lang w:val="en-GB"/>
        </w:rPr>
        <w:t>Constitutionalism?</w:t>
      </w:r>
    </w:p>
    <w:p w14:paraId="614E5E88" w14:textId="77777777" w:rsidR="00CB0289" w:rsidRDefault="00CB0289" w:rsidP="00CB0289">
      <w:pPr>
        <w:pStyle w:val="Listaszerbekezds"/>
        <w:spacing w:after="0" w:line="259" w:lineRule="auto"/>
        <w:jc w:val="both"/>
        <w:rPr>
          <w:rFonts w:ascii="Times New Roman" w:eastAsia="Calibri" w:hAnsi="Times New Roman" w:cs="Times New Roman"/>
          <w:i/>
          <w:sz w:val="24"/>
          <w:szCs w:val="24"/>
          <w:u w:val="single"/>
          <w:lang w:val="en-GB"/>
        </w:rPr>
      </w:pPr>
      <w:r w:rsidRPr="00CB0289">
        <w:rPr>
          <w:rFonts w:ascii="Times New Roman" w:eastAsia="Calibri" w:hAnsi="Times New Roman" w:cs="Times New Roman"/>
          <w:i/>
          <w:sz w:val="24"/>
          <w:szCs w:val="24"/>
          <w:u w:val="single"/>
          <w:lang w:val="en-GB"/>
        </w:rPr>
        <w:t>Required reading:</w:t>
      </w:r>
    </w:p>
    <w:p w14:paraId="168D6512" w14:textId="77777777" w:rsidR="00CB0289" w:rsidRDefault="00CB0289" w:rsidP="00CB0289">
      <w:pPr>
        <w:pStyle w:val="Listaszerbekezds"/>
        <w:spacing w:after="0" w:line="259" w:lineRule="auto"/>
        <w:jc w:val="both"/>
        <w:rPr>
          <w:rFonts w:ascii="Times New Roman" w:eastAsia="Calibri" w:hAnsi="Times New Roman" w:cs="Times New Roman"/>
          <w:iCs/>
          <w:sz w:val="24"/>
          <w:szCs w:val="24"/>
          <w:lang w:val="en-GB"/>
        </w:rPr>
      </w:pPr>
      <w:r w:rsidRPr="00CB0289">
        <w:rPr>
          <w:rFonts w:ascii="Times New Roman" w:eastAsia="Calibri" w:hAnsi="Times New Roman" w:cs="Times New Roman"/>
          <w:iCs/>
          <w:sz w:val="24"/>
          <w:szCs w:val="24"/>
          <w:lang w:val="en-GB"/>
        </w:rPr>
        <w:t xml:space="preserve">Stimson, </w:t>
      </w:r>
      <w:proofErr w:type="spellStart"/>
      <w:r w:rsidRPr="00CB0289">
        <w:rPr>
          <w:rFonts w:ascii="Times New Roman" w:eastAsia="Calibri" w:hAnsi="Times New Roman" w:cs="Times New Roman"/>
          <w:iCs/>
          <w:sz w:val="24"/>
          <w:szCs w:val="24"/>
          <w:lang w:val="en-GB"/>
        </w:rPr>
        <w:t>Stanon</w:t>
      </w:r>
      <w:proofErr w:type="spellEnd"/>
      <w:r w:rsidRPr="00CB0289">
        <w:rPr>
          <w:rFonts w:ascii="Times New Roman" w:eastAsia="Calibri" w:hAnsi="Times New Roman" w:cs="Times New Roman"/>
          <w:iCs/>
          <w:sz w:val="24"/>
          <w:szCs w:val="24"/>
          <w:lang w:val="en-GB"/>
        </w:rPr>
        <w:t xml:space="preserve"> C. (</w:t>
      </w:r>
      <w:r>
        <w:rPr>
          <w:rFonts w:ascii="Times New Roman" w:eastAsia="Calibri" w:hAnsi="Times New Roman" w:cs="Times New Roman"/>
          <w:iCs/>
          <w:sz w:val="24"/>
          <w:szCs w:val="24"/>
          <w:lang w:val="en-GB"/>
        </w:rPr>
        <w:t xml:space="preserve">2008): </w:t>
      </w:r>
      <w:r w:rsidR="00997451">
        <w:rPr>
          <w:rFonts w:ascii="Times New Roman" w:eastAsia="Calibri" w:hAnsi="Times New Roman" w:cs="Times New Roman"/>
          <w:iCs/>
          <w:sz w:val="24"/>
          <w:szCs w:val="24"/>
          <w:lang w:val="en-GB"/>
        </w:rPr>
        <w:t xml:space="preserve">Constitutionalism and the Rule of Law. in: </w:t>
      </w:r>
      <w:proofErr w:type="spellStart"/>
      <w:r w:rsidR="00997451">
        <w:rPr>
          <w:rFonts w:ascii="Times New Roman" w:eastAsia="Calibri" w:hAnsi="Times New Roman" w:cs="Times New Roman"/>
          <w:iCs/>
          <w:sz w:val="24"/>
          <w:szCs w:val="24"/>
          <w:lang w:val="en-GB"/>
        </w:rPr>
        <w:t>Dryzek</w:t>
      </w:r>
      <w:proofErr w:type="spellEnd"/>
      <w:r w:rsidR="00997451">
        <w:rPr>
          <w:rFonts w:ascii="Times New Roman" w:eastAsia="Calibri" w:hAnsi="Times New Roman" w:cs="Times New Roman"/>
          <w:iCs/>
          <w:sz w:val="24"/>
          <w:szCs w:val="24"/>
          <w:lang w:val="en-GB"/>
        </w:rPr>
        <w:t xml:space="preserve">, John S.; Honig, Bonnie; Phillips, Anne (eds.): The Oxford Handbook of Political Theory. Oxford University Press, Oxford. pp. </w:t>
      </w:r>
    </w:p>
    <w:p w14:paraId="496B18F6" w14:textId="77777777" w:rsidR="00997451" w:rsidRPr="00997451" w:rsidRDefault="00997451" w:rsidP="00CB0289">
      <w:pPr>
        <w:pStyle w:val="Listaszerbekezds"/>
        <w:spacing w:after="0" w:line="259" w:lineRule="auto"/>
        <w:jc w:val="both"/>
        <w:rPr>
          <w:rFonts w:ascii="Times New Roman" w:eastAsia="Calibri" w:hAnsi="Times New Roman" w:cs="Times New Roman"/>
          <w:i/>
          <w:sz w:val="24"/>
          <w:szCs w:val="24"/>
          <w:u w:val="single"/>
          <w:lang w:val="en-GB"/>
        </w:rPr>
      </w:pPr>
      <w:r w:rsidRPr="00997451">
        <w:rPr>
          <w:rFonts w:ascii="Times New Roman" w:eastAsia="Calibri" w:hAnsi="Times New Roman" w:cs="Times New Roman"/>
          <w:i/>
          <w:sz w:val="24"/>
          <w:szCs w:val="24"/>
          <w:u w:val="single"/>
          <w:lang w:val="en-GB"/>
        </w:rPr>
        <w:t xml:space="preserve">Recommended reading: </w:t>
      </w:r>
    </w:p>
    <w:p w14:paraId="2CA982C4" w14:textId="77777777" w:rsidR="00997451" w:rsidRPr="00CB0289" w:rsidRDefault="00997451" w:rsidP="00CB0289">
      <w:pPr>
        <w:pStyle w:val="Listaszerbekezds"/>
        <w:spacing w:after="0" w:line="259"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 xml:space="preserve">Baer, Susanne (2019): The Rule of – and not by any – Law. On Constitutionalism. in: Current Legal Problems. Vol. 71. Nr. 1. pp. 335-368. </w:t>
      </w:r>
    </w:p>
    <w:p w14:paraId="7E0A542B" w14:textId="77777777" w:rsidR="00CB0289" w:rsidRDefault="00CB0289" w:rsidP="00CB0289">
      <w:pPr>
        <w:spacing w:after="160" w:line="259" w:lineRule="auto"/>
        <w:ind w:left="708"/>
        <w:contextualSpacing/>
        <w:jc w:val="both"/>
        <w:rPr>
          <w:rFonts w:ascii="Times New Roman" w:eastAsia="Calibri" w:hAnsi="Times New Roman" w:cs="Times New Roman"/>
          <w:b/>
          <w:sz w:val="24"/>
          <w:szCs w:val="24"/>
          <w:lang w:val="en-GB"/>
        </w:rPr>
      </w:pPr>
    </w:p>
    <w:p w14:paraId="6D4BF3F3"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sz w:val="24"/>
          <w:szCs w:val="24"/>
          <w:lang w:val="en-GB"/>
        </w:rPr>
      </w:pPr>
      <w:r w:rsidRPr="00893F33">
        <w:rPr>
          <w:rFonts w:ascii="Times New Roman" w:eastAsia="Calibri" w:hAnsi="Times New Roman" w:cs="Times New Roman"/>
          <w:b/>
          <w:sz w:val="24"/>
          <w:szCs w:val="24"/>
          <w:lang w:val="en-GB"/>
        </w:rPr>
        <w:t>Rule of Law vs. Instrumentalism: Is the Rule of Law Compatible with the Modern Administrative State?</w:t>
      </w:r>
    </w:p>
    <w:p w14:paraId="15DA94B6"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7D87BF17" w14:textId="77777777" w:rsidR="00893F33" w:rsidRPr="00893F33" w:rsidRDefault="00893F33" w:rsidP="00893F33">
      <w:pPr>
        <w:spacing w:after="160" w:line="259" w:lineRule="auto"/>
        <w:ind w:left="720"/>
        <w:contextualSpacing/>
        <w:jc w:val="both"/>
        <w:rPr>
          <w:rFonts w:ascii="Times New Roman" w:eastAsia="Calibri" w:hAnsi="Times New Roman" w:cs="Times New Roman"/>
          <w:bCs/>
          <w:sz w:val="24"/>
          <w:szCs w:val="24"/>
          <w:lang w:val="en-GB"/>
        </w:rPr>
      </w:pPr>
      <w:r w:rsidRPr="00893F33">
        <w:rPr>
          <w:rFonts w:ascii="Times New Roman" w:eastAsia="Calibri" w:hAnsi="Times New Roman" w:cs="Times New Roman"/>
          <w:bCs/>
          <w:sz w:val="24"/>
          <w:szCs w:val="24"/>
          <w:lang w:val="en-GB"/>
        </w:rPr>
        <w:t xml:space="preserve">Hayek, Friedrich A. (1994): The Road to Serfdom. Chicago University Press, Chicago. pp. 80-111. </w:t>
      </w:r>
    </w:p>
    <w:p w14:paraId="5BBABF4D" w14:textId="77777777" w:rsidR="00893F33" w:rsidRPr="00893F33" w:rsidRDefault="00893F33" w:rsidP="00893F33">
      <w:pPr>
        <w:spacing w:after="160" w:line="259" w:lineRule="auto"/>
        <w:ind w:left="720"/>
        <w:contextualSpacing/>
        <w:jc w:val="both"/>
        <w:rPr>
          <w:rFonts w:ascii="Times New Roman" w:eastAsia="Calibri" w:hAnsi="Times New Roman" w:cs="Times New Roman"/>
          <w:bCs/>
          <w:sz w:val="24"/>
          <w:szCs w:val="24"/>
          <w:lang w:val="en-GB"/>
        </w:rPr>
      </w:pPr>
      <w:r w:rsidRPr="00893F33">
        <w:rPr>
          <w:rFonts w:ascii="Times New Roman" w:eastAsia="Calibri" w:hAnsi="Times New Roman" w:cs="Times New Roman"/>
          <w:bCs/>
          <w:sz w:val="24"/>
          <w:szCs w:val="24"/>
          <w:lang w:val="en-GB"/>
        </w:rPr>
        <w:t xml:space="preserve">Unger, Roberto </w:t>
      </w:r>
      <w:proofErr w:type="spellStart"/>
      <w:r w:rsidRPr="00893F33">
        <w:rPr>
          <w:rFonts w:ascii="Times New Roman" w:eastAsia="Calibri" w:hAnsi="Times New Roman" w:cs="Times New Roman"/>
          <w:bCs/>
          <w:sz w:val="24"/>
          <w:szCs w:val="24"/>
          <w:lang w:val="en-GB"/>
        </w:rPr>
        <w:t>Mangabeira</w:t>
      </w:r>
      <w:proofErr w:type="spellEnd"/>
      <w:r w:rsidRPr="00893F33">
        <w:rPr>
          <w:rFonts w:ascii="Times New Roman" w:eastAsia="Calibri" w:hAnsi="Times New Roman" w:cs="Times New Roman"/>
          <w:bCs/>
          <w:sz w:val="24"/>
          <w:szCs w:val="24"/>
          <w:lang w:val="en-GB"/>
        </w:rPr>
        <w:t xml:space="preserve"> (1977): </w:t>
      </w:r>
      <w:r w:rsidRPr="00893F33">
        <w:rPr>
          <w:rFonts w:ascii="Times New Roman" w:eastAsia="Calibri" w:hAnsi="Times New Roman" w:cs="Times New Roman"/>
          <w:bCs/>
          <w:i/>
          <w:iCs/>
          <w:sz w:val="24"/>
          <w:szCs w:val="24"/>
          <w:lang w:val="en-GB"/>
        </w:rPr>
        <w:t>Law in Modern Society. Towards a Criticism of Social Theory.</w:t>
      </w:r>
      <w:r w:rsidRPr="00893F33">
        <w:rPr>
          <w:rFonts w:ascii="Times New Roman" w:eastAsia="Calibri" w:hAnsi="Times New Roman" w:cs="Times New Roman"/>
          <w:bCs/>
          <w:sz w:val="24"/>
          <w:szCs w:val="24"/>
          <w:lang w:val="en-GB"/>
        </w:rPr>
        <w:t xml:space="preserve"> The Free Press, New York. pp. 192-223. (The Chapter “The Disintegration of the Rule of Law in Postliberal Society”). </w:t>
      </w:r>
    </w:p>
    <w:p w14:paraId="2649E72F"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C36B35D"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598BE6F4"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6727F555" w14:textId="77777777" w:rsidR="00997451" w:rsidRDefault="00997451" w:rsidP="00893F33">
      <w:pPr>
        <w:spacing w:after="160" w:line="259" w:lineRule="auto"/>
        <w:ind w:left="720"/>
        <w:contextualSpacing/>
        <w:jc w:val="both"/>
        <w:rPr>
          <w:rFonts w:ascii="Times New Roman" w:eastAsia="Calibri" w:hAnsi="Times New Roman" w:cs="Times New Roman"/>
          <w:b/>
          <w:bCs/>
          <w:sz w:val="24"/>
          <w:szCs w:val="24"/>
          <w:lang w:val="en-GB"/>
        </w:rPr>
      </w:pPr>
    </w:p>
    <w:p w14:paraId="02FB9DC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Singapore</w:t>
      </w:r>
    </w:p>
    <w:p w14:paraId="09E1150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AF1057E"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r w:rsidRPr="00893F33">
        <w:rPr>
          <w:rFonts w:ascii="Times New Roman" w:eastAsia="Calibri" w:hAnsi="Times New Roman" w:cs="Times New Roman"/>
          <w:iCs/>
          <w:sz w:val="24"/>
          <w:szCs w:val="24"/>
          <w:lang w:val="en-GB"/>
        </w:rPr>
        <w:t xml:space="preserve">Rajah, </w:t>
      </w:r>
      <w:proofErr w:type="spellStart"/>
      <w:r w:rsidRPr="00893F33">
        <w:rPr>
          <w:rFonts w:ascii="Times New Roman" w:eastAsia="Calibri" w:hAnsi="Times New Roman" w:cs="Times New Roman"/>
          <w:iCs/>
          <w:sz w:val="24"/>
          <w:szCs w:val="24"/>
          <w:lang w:val="en-GB"/>
        </w:rPr>
        <w:t>Rothie</w:t>
      </w:r>
      <w:proofErr w:type="spellEnd"/>
      <w:r w:rsidRPr="00893F33">
        <w:rPr>
          <w:rFonts w:ascii="Times New Roman" w:eastAsia="Calibri" w:hAnsi="Times New Roman" w:cs="Times New Roman"/>
          <w:iCs/>
          <w:sz w:val="24"/>
          <w:szCs w:val="24"/>
          <w:lang w:val="en-GB"/>
        </w:rPr>
        <w:t xml:space="preserve"> (2012): </w:t>
      </w:r>
      <w:r w:rsidRPr="00893F33">
        <w:rPr>
          <w:rFonts w:ascii="Times New Roman" w:eastAsia="Calibri" w:hAnsi="Times New Roman" w:cs="Times New Roman"/>
          <w:i/>
          <w:sz w:val="24"/>
          <w:szCs w:val="24"/>
          <w:lang w:val="en-GB"/>
        </w:rPr>
        <w:t>Authoritarian Rule of Law. Legislation, Discourse and Legitimacy in Singapore</w:t>
      </w:r>
      <w:r w:rsidRPr="00893F33">
        <w:rPr>
          <w:rFonts w:ascii="Times New Roman" w:eastAsia="Calibri" w:hAnsi="Times New Roman" w:cs="Times New Roman"/>
          <w:iCs/>
          <w:sz w:val="24"/>
          <w:szCs w:val="24"/>
          <w:lang w:val="en-GB"/>
        </w:rPr>
        <w:t>. Cambridge University Press, Cambridge. pp. 1-55; 267-298. (The chapters “Law, Illiberalism and the Singapore Case” and “Legislation, Illiberalism and Legitimacy”)</w:t>
      </w:r>
    </w:p>
    <w:p w14:paraId="2B6C699D"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791C752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rPr>
        <w:t>Thio</w:t>
      </w:r>
      <w:proofErr w:type="spellEnd"/>
      <w:r w:rsidRPr="00893F33">
        <w:rPr>
          <w:rFonts w:ascii="Times New Roman" w:eastAsia="Calibri" w:hAnsi="Times New Roman" w:cs="Times New Roman"/>
          <w:sz w:val="24"/>
          <w:szCs w:val="24"/>
        </w:rPr>
        <w:t xml:space="preserve">, Lee-Ann (2004): </w:t>
      </w:r>
      <w:r w:rsidRPr="00893F33">
        <w:rPr>
          <w:rFonts w:ascii="Times New Roman" w:eastAsia="Calibri" w:hAnsi="Times New Roman" w:cs="Times New Roman"/>
          <w:i/>
          <w:iCs/>
          <w:sz w:val="24"/>
          <w:szCs w:val="24"/>
        </w:rPr>
        <w:t>Rule of Law Within a Non-Liberal “Communitarian” Democracy: The Singapore Experience</w:t>
      </w:r>
      <w:r w:rsidRPr="00893F33">
        <w:rPr>
          <w:rFonts w:ascii="Times New Roman" w:eastAsia="Calibri" w:hAnsi="Times New Roman" w:cs="Times New Roman"/>
          <w:sz w:val="24"/>
          <w:szCs w:val="24"/>
        </w:rPr>
        <w:t xml:space="preserve">. in: </w:t>
      </w: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Randall (</w:t>
      </w:r>
      <w:proofErr w:type="spellStart"/>
      <w:r w:rsidRPr="00893F33">
        <w:rPr>
          <w:rFonts w:ascii="Times New Roman" w:eastAsia="Calibri" w:hAnsi="Times New Roman" w:cs="Times New Roman"/>
          <w:sz w:val="24"/>
          <w:szCs w:val="24"/>
          <w:lang w:val="en-GB"/>
        </w:rPr>
        <w:t>ed</w:t>
      </w:r>
      <w:proofErr w:type="spellEnd"/>
      <w:r w:rsidRPr="00893F33">
        <w:rPr>
          <w:rFonts w:ascii="Times New Roman" w:eastAsia="Calibri" w:hAnsi="Times New Roman" w:cs="Times New Roman"/>
          <w:sz w:val="24"/>
          <w:szCs w:val="24"/>
          <w:lang w:val="en-GB"/>
        </w:rPr>
        <w:t>): Asian Discourses on the Rule of Law. Theories and Implementation of rule of law in twelve Asian countries, France and the U.S. Routledge, London. pp. 180-221.</w:t>
      </w:r>
    </w:p>
    <w:p w14:paraId="53C640F3"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77B6974C"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Rule of Law vs. Authoritarianism: Are Rule of Law and Authoritarian Regimes Mutually Incompatible?</w:t>
      </w:r>
    </w:p>
    <w:p w14:paraId="32D72377"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0278529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xml:space="preserve">, Jens (2018): </w:t>
      </w:r>
      <w:r w:rsidRPr="00893F33">
        <w:rPr>
          <w:rFonts w:ascii="Times New Roman" w:eastAsia="Calibri" w:hAnsi="Times New Roman" w:cs="Times New Roman"/>
          <w:i/>
          <w:iCs/>
          <w:sz w:val="24"/>
          <w:szCs w:val="24"/>
        </w:rPr>
        <w:t xml:space="preserve">The Remnants of the </w:t>
      </w:r>
      <w:proofErr w:type="spellStart"/>
      <w:r w:rsidRPr="00893F33">
        <w:rPr>
          <w:rFonts w:ascii="Times New Roman" w:eastAsia="Calibri" w:hAnsi="Times New Roman" w:cs="Times New Roman"/>
          <w:i/>
          <w:iCs/>
          <w:sz w:val="24"/>
          <w:szCs w:val="24"/>
        </w:rPr>
        <w:t>Rechtsstaat</w:t>
      </w:r>
      <w:proofErr w:type="spellEnd"/>
      <w:r w:rsidRPr="00893F33">
        <w:rPr>
          <w:rFonts w:ascii="Times New Roman" w:eastAsia="Calibri" w:hAnsi="Times New Roman" w:cs="Times New Roman"/>
          <w:i/>
          <w:iCs/>
          <w:sz w:val="24"/>
          <w:szCs w:val="24"/>
        </w:rPr>
        <w:t>. An Ethnography of Nazi Law</w:t>
      </w:r>
      <w:r w:rsidRPr="00893F33">
        <w:rPr>
          <w:rFonts w:ascii="Times New Roman" w:eastAsia="Calibri" w:hAnsi="Times New Roman" w:cs="Times New Roman"/>
          <w:sz w:val="24"/>
          <w:szCs w:val="24"/>
        </w:rPr>
        <w:t>. Oxford University Press, Oxford. pp. 225-253. (The chapter “Authoritarian Rule of Law”)</w:t>
      </w:r>
    </w:p>
    <w:p w14:paraId="5D0533D6"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 xml:space="preserve">Hale, Henry (2015): </w:t>
      </w:r>
      <w:r w:rsidRPr="00893F33">
        <w:rPr>
          <w:rFonts w:ascii="Times New Roman" w:eastAsia="Calibri" w:hAnsi="Times New Roman" w:cs="Times New Roman"/>
          <w:i/>
          <w:iCs/>
          <w:sz w:val="24"/>
          <w:szCs w:val="24"/>
        </w:rPr>
        <w:t>Patronal Politics. Eurasian Regime Dynamics in Comparative Perspective</w:t>
      </w:r>
      <w:r w:rsidRPr="00893F33">
        <w:rPr>
          <w:rFonts w:ascii="Times New Roman" w:eastAsia="Calibri" w:hAnsi="Times New Roman" w:cs="Times New Roman"/>
          <w:sz w:val="24"/>
          <w:szCs w:val="24"/>
        </w:rPr>
        <w:t>. Cambridge University Press, Cambridge pp. 19-39. (The Chapter “Patronal Politics and the Great Power of Expectations”)</w:t>
      </w:r>
    </w:p>
    <w:p w14:paraId="2BA26F70" w14:textId="77777777" w:rsidR="00893F33" w:rsidRPr="00997451" w:rsidRDefault="00893F33" w:rsidP="00997451">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1199EC3D"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Moustafa</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Tamir</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Ginbsurg</w:t>
      </w:r>
      <w:proofErr w:type="spellEnd"/>
      <w:r w:rsidRPr="00893F33">
        <w:rPr>
          <w:rFonts w:ascii="Times New Roman" w:eastAsia="Calibri" w:hAnsi="Times New Roman" w:cs="Times New Roman"/>
          <w:sz w:val="24"/>
          <w:szCs w:val="24"/>
          <w:lang w:val="en-GB"/>
        </w:rPr>
        <w:t xml:space="preserve">, Tom (2008): </w:t>
      </w:r>
      <w:r w:rsidRPr="00893F33">
        <w:rPr>
          <w:rFonts w:ascii="Times New Roman" w:eastAsia="Calibri" w:hAnsi="Times New Roman" w:cs="Times New Roman"/>
          <w:i/>
          <w:iCs/>
          <w:sz w:val="24"/>
          <w:szCs w:val="24"/>
          <w:lang w:val="en-GB"/>
        </w:rPr>
        <w:t>Introduction: The Functions of Courts in Authoritarian Regimes</w:t>
      </w:r>
      <w:r w:rsidRPr="00893F33">
        <w:rPr>
          <w:rFonts w:ascii="Times New Roman" w:eastAsia="Calibri" w:hAnsi="Times New Roman" w:cs="Times New Roman"/>
          <w:sz w:val="24"/>
          <w:szCs w:val="24"/>
          <w:lang w:val="en-GB"/>
        </w:rPr>
        <w:t xml:space="preserve">. In: Ginsburg, Tom; </w:t>
      </w:r>
      <w:proofErr w:type="spellStart"/>
      <w:r w:rsidRPr="00893F33">
        <w:rPr>
          <w:rFonts w:ascii="Times New Roman" w:eastAsia="Calibri" w:hAnsi="Times New Roman" w:cs="Times New Roman"/>
          <w:sz w:val="24"/>
          <w:szCs w:val="24"/>
          <w:lang w:val="en-GB"/>
        </w:rPr>
        <w:t>Moustafa</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Tamir</w:t>
      </w:r>
      <w:proofErr w:type="spellEnd"/>
      <w:r w:rsidRPr="00893F33">
        <w:rPr>
          <w:rFonts w:ascii="Times New Roman" w:eastAsia="Calibri" w:hAnsi="Times New Roman" w:cs="Times New Roman"/>
          <w:sz w:val="24"/>
          <w:szCs w:val="24"/>
          <w:lang w:val="en-GB"/>
        </w:rPr>
        <w:t xml:space="preserve"> (</w:t>
      </w:r>
      <w:proofErr w:type="spellStart"/>
      <w:r w:rsidRPr="00893F33">
        <w:rPr>
          <w:rFonts w:ascii="Times New Roman" w:eastAsia="Calibri" w:hAnsi="Times New Roman" w:cs="Times New Roman"/>
          <w:sz w:val="24"/>
          <w:szCs w:val="24"/>
          <w:lang w:val="en-GB"/>
        </w:rPr>
        <w:t>eds</w:t>
      </w:r>
      <w:proofErr w:type="spellEnd"/>
      <w:r w:rsidRPr="00893F33">
        <w:rPr>
          <w:rFonts w:ascii="Times New Roman" w:eastAsia="Calibri" w:hAnsi="Times New Roman" w:cs="Times New Roman"/>
          <w:sz w:val="24"/>
          <w:szCs w:val="24"/>
          <w:lang w:val="en-GB"/>
        </w:rPr>
        <w:t>): Rule by law. The Politics of Courts in Authoritarian Regimes.</w:t>
      </w:r>
    </w:p>
    <w:p w14:paraId="59089DC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A98B46E"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 xml:space="preserve">Rules vs. Culture: Is Rule of Law a Question of Written Rules or of Legal </w:t>
      </w:r>
      <w:proofErr w:type="spellStart"/>
      <w:r w:rsidRPr="00893F33">
        <w:rPr>
          <w:rFonts w:ascii="Times New Roman" w:eastAsia="Calibri" w:hAnsi="Times New Roman" w:cs="Times New Roman"/>
          <w:b/>
          <w:bCs/>
          <w:sz w:val="24"/>
          <w:szCs w:val="24"/>
          <w:lang w:val="en-GB"/>
        </w:rPr>
        <w:t>Counsciousness</w:t>
      </w:r>
      <w:proofErr w:type="spellEnd"/>
      <w:r w:rsidRPr="00893F33">
        <w:rPr>
          <w:rFonts w:ascii="Times New Roman" w:eastAsia="Calibri" w:hAnsi="Times New Roman" w:cs="Times New Roman"/>
          <w:b/>
          <w:bCs/>
          <w:sz w:val="24"/>
          <w:szCs w:val="24"/>
          <w:lang w:val="en-GB"/>
        </w:rPr>
        <w:t>/Institutional Practice?</w:t>
      </w:r>
    </w:p>
    <w:p w14:paraId="0F4EA619"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5746C128"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rPr>
        <w:t>Meierheinrich</w:t>
      </w:r>
      <w:proofErr w:type="spellEnd"/>
      <w:r w:rsidRPr="00893F33">
        <w:rPr>
          <w:rFonts w:ascii="Times New Roman" w:eastAsia="Calibri" w:hAnsi="Times New Roman" w:cs="Times New Roman"/>
          <w:sz w:val="24"/>
          <w:szCs w:val="24"/>
        </w:rPr>
        <w:t>, Jens (2008): The Long-Running Consequences of Legal Development in South Africa, 1652-2000. Cambridge University Press, Cambridge pp. 314-329. (the chapter “Conclusion”)</w:t>
      </w:r>
    </w:p>
    <w:p w14:paraId="506CFE96"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Hendley</w:t>
      </w:r>
      <w:proofErr w:type="spellEnd"/>
      <w:r w:rsidRPr="00893F33">
        <w:rPr>
          <w:rFonts w:ascii="Times New Roman" w:eastAsia="Calibri" w:hAnsi="Times New Roman" w:cs="Times New Roman"/>
          <w:sz w:val="24"/>
          <w:szCs w:val="24"/>
          <w:lang w:val="en-GB"/>
        </w:rPr>
        <w:t>, Kathrin (2017): Everyday law in Russia. Cornell University Press, Ithaca. pp. 18-57. (The chapters “Introduction: Lawlessness in Russia? Rethinking the Narratives of Law” and “Legal Consciousness(</w:t>
      </w:r>
      <w:proofErr w:type="spellStart"/>
      <w:r w:rsidRPr="00893F33">
        <w:rPr>
          <w:rFonts w:ascii="Times New Roman" w:eastAsia="Calibri" w:hAnsi="Times New Roman" w:cs="Times New Roman"/>
          <w:sz w:val="24"/>
          <w:szCs w:val="24"/>
          <w:lang w:val="en-GB"/>
        </w:rPr>
        <w:t>ess</w:t>
      </w:r>
      <w:proofErr w:type="spellEnd"/>
      <w:r w:rsidRPr="00893F33">
        <w:rPr>
          <w:rFonts w:ascii="Times New Roman" w:eastAsia="Calibri" w:hAnsi="Times New Roman" w:cs="Times New Roman"/>
          <w:sz w:val="24"/>
          <w:szCs w:val="24"/>
          <w:lang w:val="en-GB"/>
        </w:rPr>
        <w:t>) in Russia”)</w:t>
      </w:r>
    </w:p>
    <w:p w14:paraId="006F9F48"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p>
    <w:p w14:paraId="553E3804"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Universality vs. Diversity: Is There a Universal Common Core to the Concept of the Rule of Law?</w:t>
      </w:r>
    </w:p>
    <w:p w14:paraId="4EF7C765"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2A9601C"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xml:space="preserve">, Randall (2004): </w:t>
      </w:r>
      <w:r w:rsidRPr="00893F33">
        <w:rPr>
          <w:rFonts w:ascii="Times New Roman" w:eastAsia="Calibri" w:hAnsi="Times New Roman" w:cs="Times New Roman"/>
          <w:i/>
          <w:iCs/>
          <w:sz w:val="24"/>
          <w:szCs w:val="24"/>
          <w:lang w:val="en-GB"/>
        </w:rPr>
        <w:t>Varieties of Rule of Law</w:t>
      </w:r>
      <w:r w:rsidRPr="00893F33">
        <w:rPr>
          <w:rFonts w:ascii="Times New Roman" w:eastAsia="Calibri" w:hAnsi="Times New Roman" w:cs="Times New Roman"/>
          <w:sz w:val="24"/>
          <w:szCs w:val="24"/>
          <w:lang w:val="en-GB"/>
        </w:rPr>
        <w:t xml:space="preserve">. in </w:t>
      </w:r>
      <w:proofErr w:type="spellStart"/>
      <w:r w:rsidRPr="00893F33">
        <w:rPr>
          <w:rFonts w:ascii="Times New Roman" w:eastAsia="Calibri" w:hAnsi="Times New Roman" w:cs="Times New Roman"/>
          <w:sz w:val="24"/>
          <w:szCs w:val="24"/>
          <w:lang w:val="en-GB"/>
        </w:rPr>
        <w:t>Peerenboom</w:t>
      </w:r>
      <w:proofErr w:type="spellEnd"/>
      <w:r w:rsidRPr="00893F33">
        <w:rPr>
          <w:rFonts w:ascii="Times New Roman" w:eastAsia="Calibri" w:hAnsi="Times New Roman" w:cs="Times New Roman"/>
          <w:sz w:val="24"/>
          <w:szCs w:val="24"/>
          <w:lang w:val="en-GB"/>
        </w:rPr>
        <w:t>, Randall (</w:t>
      </w:r>
      <w:proofErr w:type="spellStart"/>
      <w:r w:rsidRPr="00893F33">
        <w:rPr>
          <w:rFonts w:ascii="Times New Roman" w:eastAsia="Calibri" w:hAnsi="Times New Roman" w:cs="Times New Roman"/>
          <w:sz w:val="24"/>
          <w:szCs w:val="24"/>
          <w:lang w:val="en-GB"/>
        </w:rPr>
        <w:t>ed</w:t>
      </w:r>
      <w:proofErr w:type="spellEnd"/>
      <w:r w:rsidRPr="00893F33">
        <w:rPr>
          <w:rFonts w:ascii="Times New Roman" w:eastAsia="Calibri" w:hAnsi="Times New Roman" w:cs="Times New Roman"/>
          <w:sz w:val="24"/>
          <w:szCs w:val="24"/>
          <w:lang w:val="en-GB"/>
        </w:rPr>
        <w:t xml:space="preserve">): Asian Discourses on the Rule of Law. Theories and Implementation of rule of law in twelve Asian countries, France and the U.S. Routledge, London. pp. 1-54. </w:t>
      </w:r>
    </w:p>
    <w:p w14:paraId="06D8D3AA"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473CCACB"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023CA3C5"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6B635DC2"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5E10C739" w14:textId="77777777" w:rsidR="00997451" w:rsidRDefault="00997451" w:rsidP="00893F33">
      <w:pPr>
        <w:spacing w:after="160" w:line="259" w:lineRule="auto"/>
        <w:ind w:left="720"/>
        <w:contextualSpacing/>
        <w:jc w:val="both"/>
        <w:rPr>
          <w:rFonts w:ascii="Times New Roman" w:eastAsia="Calibri" w:hAnsi="Times New Roman" w:cs="Times New Roman"/>
          <w:sz w:val="24"/>
          <w:szCs w:val="24"/>
          <w:lang w:val="en-GB"/>
        </w:rPr>
      </w:pPr>
    </w:p>
    <w:p w14:paraId="44B7CE44"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r w:rsidRPr="00893F33">
        <w:rPr>
          <w:rFonts w:ascii="Times New Roman" w:eastAsia="Calibri" w:hAnsi="Times New Roman" w:cs="Times New Roman"/>
          <w:sz w:val="24"/>
          <w:szCs w:val="24"/>
          <w:lang w:val="en-GB"/>
        </w:rPr>
        <w:t xml:space="preserve">Grimm, Dieter (2016): </w:t>
      </w:r>
      <w:r w:rsidRPr="00893F33">
        <w:rPr>
          <w:rFonts w:ascii="Times New Roman" w:eastAsia="Calibri" w:hAnsi="Times New Roman" w:cs="Times New Roman"/>
          <w:i/>
          <w:iCs/>
          <w:sz w:val="24"/>
          <w:szCs w:val="24"/>
          <w:lang w:val="en-GB"/>
        </w:rPr>
        <w:t>Levels of the Rule of Law. On the Possibility of Exporting a Western Achievement</w:t>
      </w:r>
      <w:r w:rsidRPr="00893F33">
        <w:rPr>
          <w:rFonts w:ascii="Times New Roman" w:eastAsia="Calibri" w:hAnsi="Times New Roman" w:cs="Times New Roman"/>
          <w:sz w:val="24"/>
          <w:szCs w:val="24"/>
          <w:lang w:val="en-GB"/>
        </w:rPr>
        <w:t xml:space="preserve">. </w:t>
      </w:r>
      <w:proofErr w:type="gramStart"/>
      <w:r w:rsidRPr="00893F33">
        <w:rPr>
          <w:rFonts w:ascii="Times New Roman" w:eastAsia="Calibri" w:hAnsi="Times New Roman" w:cs="Times New Roman"/>
          <w:sz w:val="24"/>
          <w:szCs w:val="24"/>
          <w:lang w:val="en-GB"/>
        </w:rPr>
        <w:t>in</w:t>
      </w:r>
      <w:proofErr w:type="gramEnd"/>
      <w:r w:rsidRPr="00893F33">
        <w:rPr>
          <w:rFonts w:ascii="Times New Roman" w:eastAsia="Calibri" w:hAnsi="Times New Roman" w:cs="Times New Roman"/>
          <w:sz w:val="24"/>
          <w:szCs w:val="24"/>
          <w:lang w:val="en-GB"/>
        </w:rPr>
        <w:t xml:space="preserve">: Grimm, Dieter: Constitutionalism. Past, Present, Future. Oxford University Press, Oxford. pp. 345-357. </w:t>
      </w:r>
    </w:p>
    <w:p w14:paraId="5A70EA8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lang w:val="en-GB"/>
        </w:rPr>
      </w:pPr>
    </w:p>
    <w:p w14:paraId="38E154F8"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Centrum vs. Periphery: Is the Rule of Law Discourse a Tool of Global Domination?</w:t>
      </w:r>
    </w:p>
    <w:p w14:paraId="37857C78"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1704E149"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Mattei</w:t>
      </w:r>
      <w:proofErr w:type="spellEnd"/>
      <w:r w:rsidRPr="00893F33">
        <w:rPr>
          <w:rFonts w:ascii="Times New Roman" w:eastAsia="Calibri" w:hAnsi="Times New Roman" w:cs="Times New Roman"/>
          <w:sz w:val="24"/>
          <w:szCs w:val="24"/>
        </w:rPr>
        <w:t xml:space="preserve">, Ugo; </w:t>
      </w:r>
      <w:proofErr w:type="spellStart"/>
      <w:r w:rsidRPr="00893F33">
        <w:rPr>
          <w:rFonts w:ascii="Times New Roman" w:eastAsia="Calibri" w:hAnsi="Times New Roman" w:cs="Times New Roman"/>
          <w:sz w:val="24"/>
          <w:szCs w:val="24"/>
        </w:rPr>
        <w:t>Morpurgo</w:t>
      </w:r>
      <w:proofErr w:type="spellEnd"/>
      <w:r w:rsidRPr="00893F33">
        <w:rPr>
          <w:rFonts w:ascii="Times New Roman" w:eastAsia="Calibri" w:hAnsi="Times New Roman" w:cs="Times New Roman"/>
          <w:sz w:val="24"/>
          <w:szCs w:val="24"/>
        </w:rPr>
        <w:t xml:space="preserve"> de Marco (2009): </w:t>
      </w:r>
      <w:r w:rsidRPr="00893F33">
        <w:rPr>
          <w:rFonts w:ascii="Times New Roman" w:eastAsia="Calibri" w:hAnsi="Times New Roman" w:cs="Times New Roman"/>
          <w:i/>
          <w:iCs/>
          <w:sz w:val="24"/>
          <w:szCs w:val="24"/>
        </w:rPr>
        <w:t>Global Law and Plunder: The Dark Side of the Rule of Law.</w:t>
      </w:r>
      <w:r w:rsidRPr="00893F33">
        <w:rPr>
          <w:rFonts w:ascii="Times New Roman" w:eastAsia="Calibri" w:hAnsi="Times New Roman" w:cs="Times New Roman"/>
          <w:sz w:val="24"/>
          <w:szCs w:val="24"/>
        </w:rPr>
        <w:t xml:space="preserve"> Bocconi School of Law Research Papers. </w:t>
      </w:r>
    </w:p>
    <w:p w14:paraId="31437142" w14:textId="77777777" w:rsidR="00893F33" w:rsidRPr="00893F33" w:rsidRDefault="00893F33" w:rsidP="00893F33">
      <w:pPr>
        <w:spacing w:after="160" w:line="259" w:lineRule="auto"/>
        <w:ind w:left="720"/>
        <w:contextualSpacing/>
        <w:jc w:val="both"/>
        <w:rPr>
          <w:rFonts w:ascii="Times New Roman" w:eastAsia="Calibri" w:hAnsi="Times New Roman" w:cs="Times New Roman"/>
          <w:i/>
          <w:iCs/>
          <w:sz w:val="24"/>
          <w:szCs w:val="24"/>
          <w:u w:val="single"/>
        </w:rPr>
      </w:pPr>
      <w:r w:rsidRPr="00893F33">
        <w:rPr>
          <w:rFonts w:ascii="Times New Roman" w:eastAsia="Calibri" w:hAnsi="Times New Roman" w:cs="Times New Roman"/>
          <w:i/>
          <w:iCs/>
          <w:sz w:val="24"/>
          <w:szCs w:val="24"/>
          <w:u w:val="single"/>
        </w:rPr>
        <w:t>Recommended reading:</w:t>
      </w:r>
    </w:p>
    <w:p w14:paraId="035CAC40"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Humpreys</w:t>
      </w:r>
      <w:proofErr w:type="spellEnd"/>
      <w:r w:rsidRPr="00893F33">
        <w:rPr>
          <w:rFonts w:ascii="Times New Roman" w:eastAsia="Calibri" w:hAnsi="Times New Roman" w:cs="Times New Roman"/>
          <w:sz w:val="24"/>
          <w:szCs w:val="24"/>
        </w:rPr>
        <w:t>, Stephen (2010): Theatre of the Rule of Law. Transnational Legal Intervention in Theory and Practice. Cambridge University Press, Cambridge pp. 219-233. (the chapter “Conclusion”)</w:t>
      </w:r>
    </w:p>
    <w:p w14:paraId="1548BA5E"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roofErr w:type="spellStart"/>
      <w:r w:rsidRPr="00893F33">
        <w:rPr>
          <w:rFonts w:ascii="Times New Roman" w:eastAsia="Calibri" w:hAnsi="Times New Roman" w:cs="Times New Roman"/>
          <w:sz w:val="24"/>
          <w:szCs w:val="24"/>
        </w:rPr>
        <w:t>Mattei</w:t>
      </w:r>
      <w:proofErr w:type="spellEnd"/>
      <w:r w:rsidRPr="00893F33">
        <w:rPr>
          <w:rFonts w:ascii="Times New Roman" w:eastAsia="Calibri" w:hAnsi="Times New Roman" w:cs="Times New Roman"/>
          <w:sz w:val="24"/>
          <w:szCs w:val="24"/>
        </w:rPr>
        <w:t>, Ugo; Nader, Laura (2008): Plunder. When the Rule of Law is Illegal. Wiley-Blackwell, London. pp. 196-216. (the chapter “Beyond an Illegal Rule of Law?”)</w:t>
      </w:r>
    </w:p>
    <w:p w14:paraId="22225495"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1A13A6F5"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 xml:space="preserve">Qualitative vs. Quantitative: Is the Rule of Law Measurable? </w:t>
      </w:r>
    </w:p>
    <w:p w14:paraId="7EF8BBC6"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(Guest lecturer: Nyasha Weinberg, research fellow, The Bingham Centre for the Rule of Law)</w:t>
      </w:r>
    </w:p>
    <w:p w14:paraId="274892A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262F67CA" w14:textId="77777777" w:rsidR="00893F33" w:rsidRDefault="00893F33" w:rsidP="00127AF6">
      <w:pPr>
        <w:spacing w:after="160" w:line="259" w:lineRule="auto"/>
        <w:ind w:left="72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 xml:space="preserve">Moller, Jorgen; </w:t>
      </w:r>
      <w:proofErr w:type="spellStart"/>
      <w:r w:rsidRPr="00893F33">
        <w:rPr>
          <w:rFonts w:ascii="Times New Roman" w:eastAsia="Calibri" w:hAnsi="Times New Roman" w:cs="Times New Roman"/>
          <w:sz w:val="24"/>
          <w:szCs w:val="24"/>
        </w:rPr>
        <w:t>Skaaning</w:t>
      </w:r>
      <w:proofErr w:type="spellEnd"/>
      <w:r w:rsidRPr="00893F33">
        <w:rPr>
          <w:rFonts w:ascii="Times New Roman" w:eastAsia="Calibri" w:hAnsi="Times New Roman" w:cs="Times New Roman"/>
          <w:sz w:val="24"/>
          <w:szCs w:val="24"/>
        </w:rPr>
        <w:t xml:space="preserve">, </w:t>
      </w:r>
      <w:proofErr w:type="spellStart"/>
      <w:r w:rsidRPr="00893F33">
        <w:rPr>
          <w:rFonts w:ascii="Times New Roman" w:eastAsia="Calibri" w:hAnsi="Times New Roman" w:cs="Times New Roman"/>
          <w:sz w:val="24"/>
          <w:szCs w:val="24"/>
        </w:rPr>
        <w:t>Svendt</w:t>
      </w:r>
      <w:proofErr w:type="spellEnd"/>
      <w:r w:rsidRPr="00893F33">
        <w:rPr>
          <w:rFonts w:ascii="Times New Roman" w:eastAsia="Calibri" w:hAnsi="Times New Roman" w:cs="Times New Roman"/>
          <w:sz w:val="24"/>
          <w:szCs w:val="24"/>
        </w:rPr>
        <w:t xml:space="preserve">-Erik (2014): The Rule of Law. Definitions, Measures, Patterns and Causes. Palgrave-MacMillan, London. pp. 41-80. (the chapters </w:t>
      </w:r>
    </w:p>
    <w:p w14:paraId="03AD76AB" w14:textId="77777777" w:rsidR="00893F33" w:rsidRPr="00893F33" w:rsidRDefault="00893F33" w:rsidP="00127AF6">
      <w:pPr>
        <w:spacing w:after="160" w:line="259" w:lineRule="auto"/>
        <w:ind w:left="700"/>
        <w:contextualSpacing/>
        <w:jc w:val="both"/>
        <w:rPr>
          <w:rFonts w:ascii="Times New Roman" w:eastAsia="Calibri" w:hAnsi="Times New Roman" w:cs="Times New Roman"/>
          <w:sz w:val="24"/>
          <w:szCs w:val="24"/>
        </w:rPr>
      </w:pPr>
      <w:r w:rsidRPr="00893F33">
        <w:rPr>
          <w:rFonts w:ascii="Times New Roman" w:eastAsia="Calibri" w:hAnsi="Times New Roman" w:cs="Times New Roman"/>
          <w:sz w:val="24"/>
          <w:szCs w:val="24"/>
        </w:rPr>
        <w:t>“Evaluating Extant Rule of Law Measures” and “Exploring the Interchangeability of Rule of Law Measures”)</w:t>
      </w:r>
    </w:p>
    <w:p w14:paraId="30AE4022" w14:textId="77777777" w:rsidR="00893F33" w:rsidRPr="00893F33" w:rsidRDefault="00893F33" w:rsidP="00893F33">
      <w:pPr>
        <w:spacing w:after="160" w:line="259" w:lineRule="auto"/>
        <w:ind w:left="720"/>
        <w:contextualSpacing/>
        <w:jc w:val="both"/>
        <w:rPr>
          <w:rFonts w:ascii="Times New Roman" w:eastAsia="Calibri" w:hAnsi="Times New Roman" w:cs="Times New Roman"/>
          <w:sz w:val="24"/>
          <w:szCs w:val="24"/>
        </w:rPr>
      </w:pPr>
    </w:p>
    <w:p w14:paraId="27DF332B" w14:textId="77777777" w:rsidR="00893F33" w:rsidRPr="00893F33" w:rsidRDefault="00893F33" w:rsidP="00893F33">
      <w:pPr>
        <w:spacing w:after="160" w:line="259" w:lineRule="auto"/>
        <w:ind w:left="720"/>
        <w:contextualSpacing/>
        <w:jc w:val="both"/>
        <w:rPr>
          <w:rFonts w:ascii="Times New Roman" w:eastAsia="Calibri" w:hAnsi="Times New Roman" w:cs="Times New Roman"/>
          <w:b/>
          <w:bCs/>
          <w:sz w:val="24"/>
          <w:szCs w:val="24"/>
          <w:lang w:val="en-GB"/>
        </w:rPr>
      </w:pPr>
      <w:r w:rsidRPr="00893F33">
        <w:rPr>
          <w:rFonts w:ascii="Times New Roman" w:eastAsia="Calibri" w:hAnsi="Times New Roman" w:cs="Times New Roman"/>
          <w:b/>
          <w:bCs/>
          <w:sz w:val="24"/>
          <w:szCs w:val="24"/>
          <w:lang w:val="en-GB"/>
        </w:rPr>
        <w:t>Case Study: Hungary and Poland</w:t>
      </w:r>
    </w:p>
    <w:p w14:paraId="38BAB1CB" w14:textId="77777777" w:rsidR="00893F33" w:rsidRPr="00893F33" w:rsidRDefault="00893F33" w:rsidP="00893F33">
      <w:pPr>
        <w:spacing w:after="160" w:line="259" w:lineRule="auto"/>
        <w:ind w:left="720"/>
        <w:contextualSpacing/>
        <w:jc w:val="both"/>
        <w:rPr>
          <w:rFonts w:ascii="Times New Roman" w:eastAsia="Calibri" w:hAnsi="Times New Roman" w:cs="Times New Roman"/>
          <w:i/>
          <w:sz w:val="24"/>
          <w:szCs w:val="24"/>
          <w:u w:val="single"/>
          <w:lang w:val="en-GB"/>
        </w:rPr>
      </w:pPr>
      <w:r w:rsidRPr="00893F33">
        <w:rPr>
          <w:rFonts w:ascii="Times New Roman" w:eastAsia="Calibri" w:hAnsi="Times New Roman" w:cs="Times New Roman"/>
          <w:i/>
          <w:sz w:val="24"/>
          <w:szCs w:val="24"/>
          <w:u w:val="single"/>
          <w:lang w:val="en-GB"/>
        </w:rPr>
        <w:t>Required reading:</w:t>
      </w:r>
    </w:p>
    <w:p w14:paraId="6D4382EC"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proofErr w:type="spellStart"/>
      <w:r w:rsidRPr="00893F33">
        <w:rPr>
          <w:rFonts w:ascii="Times New Roman" w:eastAsia="Calibri" w:hAnsi="Times New Roman" w:cs="Times New Roman"/>
          <w:iCs/>
          <w:sz w:val="24"/>
          <w:szCs w:val="24"/>
          <w:lang w:val="en-GB"/>
        </w:rPr>
        <w:t>Sadurski</w:t>
      </w:r>
      <w:proofErr w:type="spellEnd"/>
      <w:r w:rsidRPr="00893F33">
        <w:rPr>
          <w:rFonts w:ascii="Times New Roman" w:eastAsia="Calibri" w:hAnsi="Times New Roman" w:cs="Times New Roman"/>
          <w:iCs/>
          <w:sz w:val="24"/>
          <w:szCs w:val="24"/>
          <w:lang w:val="en-GB"/>
        </w:rPr>
        <w:t xml:space="preserve">, </w:t>
      </w:r>
      <w:proofErr w:type="spellStart"/>
      <w:r w:rsidRPr="00893F33">
        <w:rPr>
          <w:rFonts w:ascii="Times New Roman" w:eastAsia="Calibri" w:hAnsi="Times New Roman" w:cs="Times New Roman"/>
          <w:iCs/>
          <w:sz w:val="24"/>
          <w:szCs w:val="24"/>
          <w:lang w:val="en-GB"/>
        </w:rPr>
        <w:t>Wojciech</w:t>
      </w:r>
      <w:proofErr w:type="spellEnd"/>
      <w:r w:rsidRPr="00893F33">
        <w:rPr>
          <w:rFonts w:ascii="Times New Roman" w:eastAsia="Calibri" w:hAnsi="Times New Roman" w:cs="Times New Roman"/>
          <w:iCs/>
          <w:sz w:val="24"/>
          <w:szCs w:val="24"/>
          <w:lang w:val="en-GB"/>
        </w:rPr>
        <w:t xml:space="preserve"> (2019): </w:t>
      </w:r>
      <w:r w:rsidRPr="00893F33">
        <w:rPr>
          <w:rFonts w:ascii="Times New Roman" w:eastAsia="Calibri" w:hAnsi="Times New Roman" w:cs="Times New Roman"/>
          <w:i/>
          <w:sz w:val="24"/>
          <w:szCs w:val="24"/>
          <w:lang w:val="en-GB"/>
        </w:rPr>
        <w:t>Poland’s Constitutional Breakdown</w:t>
      </w:r>
      <w:r w:rsidRPr="00893F33">
        <w:rPr>
          <w:rFonts w:ascii="Times New Roman" w:eastAsia="Calibri" w:hAnsi="Times New Roman" w:cs="Times New Roman"/>
          <w:iCs/>
          <w:sz w:val="24"/>
          <w:szCs w:val="24"/>
          <w:lang w:val="en-GB"/>
        </w:rPr>
        <w:t>. Oxford University Press, Oxford. pp. 162-192.; 242-267. (the chapters “Why Did it Happen?” and “Illiberal Democracy or Populist Authoritarianism?”)</w:t>
      </w:r>
    </w:p>
    <w:p w14:paraId="52029131" w14:textId="77777777" w:rsidR="00893F33" w:rsidRPr="00893F33" w:rsidRDefault="00893F33" w:rsidP="00893F33">
      <w:pPr>
        <w:spacing w:after="160" w:line="259" w:lineRule="auto"/>
        <w:ind w:left="720"/>
        <w:contextualSpacing/>
        <w:jc w:val="both"/>
        <w:rPr>
          <w:rFonts w:ascii="Times New Roman" w:eastAsia="Calibri" w:hAnsi="Times New Roman" w:cs="Times New Roman"/>
          <w:iCs/>
          <w:sz w:val="24"/>
          <w:szCs w:val="24"/>
          <w:lang w:val="en-GB"/>
        </w:rPr>
      </w:pPr>
    </w:p>
    <w:p w14:paraId="4788EF93" w14:textId="77777777" w:rsidR="00893F33" w:rsidRPr="00893F33" w:rsidRDefault="00893F33" w:rsidP="00893F33">
      <w:pPr>
        <w:numPr>
          <w:ilvl w:val="0"/>
          <w:numId w:val="6"/>
        </w:numPr>
        <w:spacing w:after="160" w:line="259" w:lineRule="auto"/>
        <w:contextualSpacing/>
        <w:jc w:val="both"/>
        <w:rPr>
          <w:rFonts w:ascii="Times New Roman" w:eastAsia="Calibri" w:hAnsi="Times New Roman" w:cs="Times New Roman"/>
          <w:b/>
          <w:bCs/>
          <w:iCs/>
          <w:sz w:val="24"/>
          <w:szCs w:val="24"/>
          <w:lang w:val="en-GB"/>
        </w:rPr>
      </w:pPr>
      <w:r w:rsidRPr="00893F33">
        <w:rPr>
          <w:rFonts w:ascii="Times New Roman" w:eastAsia="Calibri" w:hAnsi="Times New Roman" w:cs="Times New Roman"/>
          <w:b/>
          <w:bCs/>
          <w:iCs/>
          <w:sz w:val="24"/>
          <w:szCs w:val="24"/>
          <w:lang w:val="en-GB"/>
        </w:rPr>
        <w:t>Conclusion</w:t>
      </w:r>
    </w:p>
    <w:p w14:paraId="6B5BAE05" w14:textId="77777777" w:rsidR="00893F33" w:rsidRPr="00893F33" w:rsidRDefault="00893F33" w:rsidP="00893F33">
      <w:pPr>
        <w:pStyle w:val="Nincstrkz"/>
        <w:jc w:val="both"/>
        <w:rPr>
          <w:rFonts w:ascii="Times New Roman" w:hAnsi="Times New Roman" w:cs="Times New Roman"/>
          <w:b/>
          <w:sz w:val="24"/>
          <w:szCs w:val="24"/>
          <w:lang w:val="en-GB"/>
        </w:rPr>
      </w:pPr>
    </w:p>
    <w:sectPr w:rsidR="00893F33" w:rsidRPr="00893F33"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E248D" w14:textId="77777777" w:rsidR="007D368A" w:rsidRDefault="007D368A" w:rsidP="006A3E9F">
      <w:pPr>
        <w:spacing w:after="0" w:line="240" w:lineRule="auto"/>
      </w:pPr>
      <w:r>
        <w:separator/>
      </w:r>
    </w:p>
  </w:endnote>
  <w:endnote w:type="continuationSeparator" w:id="0">
    <w:p w14:paraId="39561EA5" w14:textId="77777777" w:rsidR="007D368A" w:rsidRDefault="007D368A"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34DD3" w14:textId="77777777" w:rsidR="007D368A" w:rsidRDefault="007D368A" w:rsidP="006A3E9F">
      <w:pPr>
        <w:spacing w:after="0" w:line="240" w:lineRule="auto"/>
      </w:pPr>
      <w:r>
        <w:separator/>
      </w:r>
    </w:p>
  </w:footnote>
  <w:footnote w:type="continuationSeparator" w:id="0">
    <w:p w14:paraId="54E926ED" w14:textId="77777777" w:rsidR="007D368A" w:rsidRDefault="007D368A" w:rsidP="006A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BB3B5" w14:textId="77777777" w:rsidR="006A3E9F" w:rsidRDefault="006A3E9F">
    <w:pPr>
      <w:pStyle w:val="lfej"/>
    </w:pPr>
    <w:r>
      <w:rPr>
        <w:noProof/>
        <w:lang w:val="hu-HU" w:eastAsia="hu-HU"/>
      </w:rPr>
      <w:drawing>
        <wp:anchor distT="0" distB="0" distL="114300" distR="114300" simplePos="0" relativeHeight="251659264" behindDoc="1" locked="0" layoutInCell="1" allowOverlap="1" wp14:anchorId="0BDF1B76" wp14:editId="092D2C40">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45A45603"/>
    <w:multiLevelType w:val="hybridMultilevel"/>
    <w:tmpl w:val="DF9044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5952A3"/>
    <w:multiLevelType w:val="hybridMultilevel"/>
    <w:tmpl w:val="BFA4726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524"/>
    <w:rsid w:val="00031F56"/>
    <w:rsid w:val="0008349D"/>
    <w:rsid w:val="000A2F03"/>
    <w:rsid w:val="001141DC"/>
    <w:rsid w:val="00122B14"/>
    <w:rsid w:val="001241F1"/>
    <w:rsid w:val="00127AF6"/>
    <w:rsid w:val="00154A91"/>
    <w:rsid w:val="00214377"/>
    <w:rsid w:val="002630AC"/>
    <w:rsid w:val="002A7467"/>
    <w:rsid w:val="002D4CE3"/>
    <w:rsid w:val="002F4EDE"/>
    <w:rsid w:val="0034091F"/>
    <w:rsid w:val="00347A6B"/>
    <w:rsid w:val="00375825"/>
    <w:rsid w:val="003D6FD0"/>
    <w:rsid w:val="00424F47"/>
    <w:rsid w:val="004737D2"/>
    <w:rsid w:val="004C71B7"/>
    <w:rsid w:val="0054074D"/>
    <w:rsid w:val="005A64D8"/>
    <w:rsid w:val="0063460B"/>
    <w:rsid w:val="00636FE5"/>
    <w:rsid w:val="00645101"/>
    <w:rsid w:val="00692F37"/>
    <w:rsid w:val="006A370D"/>
    <w:rsid w:val="006A3E9F"/>
    <w:rsid w:val="006B41A4"/>
    <w:rsid w:val="007258B7"/>
    <w:rsid w:val="007B0F9D"/>
    <w:rsid w:val="007D368A"/>
    <w:rsid w:val="007F4425"/>
    <w:rsid w:val="00893F33"/>
    <w:rsid w:val="008B251A"/>
    <w:rsid w:val="008C6F6E"/>
    <w:rsid w:val="008E334E"/>
    <w:rsid w:val="00907F12"/>
    <w:rsid w:val="0093128C"/>
    <w:rsid w:val="00957CD4"/>
    <w:rsid w:val="00997451"/>
    <w:rsid w:val="00A01223"/>
    <w:rsid w:val="00A05CE3"/>
    <w:rsid w:val="00A34386"/>
    <w:rsid w:val="00A40DF6"/>
    <w:rsid w:val="00A66710"/>
    <w:rsid w:val="00B574E8"/>
    <w:rsid w:val="00B9260F"/>
    <w:rsid w:val="00C0178E"/>
    <w:rsid w:val="00C36B1B"/>
    <w:rsid w:val="00C6762B"/>
    <w:rsid w:val="00C8090E"/>
    <w:rsid w:val="00C94228"/>
    <w:rsid w:val="00CB0289"/>
    <w:rsid w:val="00CB57FC"/>
    <w:rsid w:val="00CB6031"/>
    <w:rsid w:val="00CD59F5"/>
    <w:rsid w:val="00CF02A7"/>
    <w:rsid w:val="00CF4A2A"/>
    <w:rsid w:val="00DA3812"/>
    <w:rsid w:val="00DF137E"/>
    <w:rsid w:val="00E0037E"/>
    <w:rsid w:val="00E50966"/>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2268"/>
  <w15:docId w15:val="{C37415BE-99A1-4FE8-80B1-27997B3A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37D2"/>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4737D2"/>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Hiperhivatkozs">
    <w:name w:val="Hyperlink"/>
    <w:basedOn w:val="Bekezdsalapbettpusa"/>
    <w:uiPriority w:val="99"/>
    <w:unhideWhenUsed/>
    <w:rsid w:val="00473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aba.gyory@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75E6-564A-4D45-869A-FD6FC398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9987</Characters>
  <Application>Microsoft Office Word</Application>
  <DocSecurity>0</DocSecurity>
  <Lines>83</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ELTE ÁJK</Company>
  <LinksUpToDate>false</LinksUpToDate>
  <CharactersWithSpaces>11412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Udovecz Ákos</cp:lastModifiedBy>
  <cp:revision>2</cp:revision>
  <dcterms:created xsi:type="dcterms:W3CDTF">2020-11-18T13:23:00Z</dcterms:created>
  <dcterms:modified xsi:type="dcterms:W3CDTF">2020-11-18T13:23:00Z</dcterms:modified>
</cp:coreProperties>
</file>