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38889" w14:textId="5ECF5B4A" w:rsidR="004433C7" w:rsidRDefault="004433C7" w:rsidP="00715555"/>
    <w:p w14:paraId="53EE1A78" w14:textId="77777777" w:rsidR="00715555" w:rsidRDefault="00715555" w:rsidP="00715555"/>
    <w:p w14:paraId="4A16E50A" w14:textId="6CA85E35" w:rsidR="00715555" w:rsidRPr="00715555" w:rsidRDefault="00715555" w:rsidP="00715555">
      <w:pPr>
        <w:contextualSpacing/>
        <w:jc w:val="center"/>
        <w:outlineLvl w:val="0"/>
        <w:rPr>
          <w:b/>
          <w:spacing w:val="-10"/>
          <w:kern w:val="28"/>
          <w:sz w:val="28"/>
          <w:szCs w:val="28"/>
          <w:u w:val="single"/>
        </w:rPr>
      </w:pPr>
      <w:bookmarkStart w:id="0" w:name="_Toc21614590"/>
      <w:bookmarkStart w:id="1" w:name="_GoBack"/>
      <w:r w:rsidRPr="00715555">
        <w:rPr>
          <w:b/>
          <w:spacing w:val="-10"/>
          <w:kern w:val="28"/>
          <w:sz w:val="28"/>
          <w:szCs w:val="28"/>
          <w:u w:val="single"/>
        </w:rPr>
        <w:t>V4 countries and their role in Europe and around the globe</w:t>
      </w:r>
      <w:bookmarkEnd w:id="0"/>
    </w:p>
    <w:bookmarkEnd w:id="1"/>
    <w:p w14:paraId="6B5D8E11" w14:textId="77777777" w:rsidR="00715555" w:rsidRDefault="00715555" w:rsidP="00715555">
      <w:pPr>
        <w:spacing w:after="160" w:line="360" w:lineRule="auto"/>
        <w:jc w:val="both"/>
        <w:rPr>
          <w:rFonts w:eastAsia="Calibri"/>
          <w:b/>
          <w:sz w:val="22"/>
          <w:szCs w:val="22"/>
        </w:rPr>
      </w:pPr>
    </w:p>
    <w:p w14:paraId="1233130A" w14:textId="48B3DBF8" w:rsidR="00715555" w:rsidRDefault="00715555" w:rsidP="00715555">
      <w:pPr>
        <w:spacing w:after="160" w:line="360" w:lineRule="auto"/>
        <w:jc w:val="both"/>
      </w:pPr>
      <w:r>
        <w:rPr>
          <w:rFonts w:eastAsia="Calibri"/>
          <w:b/>
          <w:sz w:val="22"/>
          <w:szCs w:val="22"/>
        </w:rPr>
        <w:t xml:space="preserve">Lecturer: </w:t>
      </w:r>
      <w:r w:rsidRPr="002A2C36">
        <w:rPr>
          <w:b/>
          <w:lang w:val="en-GB"/>
        </w:rPr>
        <w:t>András Varga, MA</w:t>
      </w:r>
      <w:r>
        <w:rPr>
          <w:b/>
          <w:lang w:val="en-GB"/>
        </w:rPr>
        <w:t xml:space="preserve"> - </w:t>
      </w:r>
      <w:r>
        <w:t>Institute of Political Science (ELTE)</w:t>
      </w:r>
    </w:p>
    <w:p w14:paraId="370A8BAA" w14:textId="21C6A266" w:rsidR="00715555" w:rsidRDefault="00715555" w:rsidP="00715555">
      <w:pPr>
        <w:spacing w:after="160" w:line="360" w:lineRule="auto"/>
        <w:jc w:val="both"/>
      </w:pPr>
      <w:proofErr w:type="gramStart"/>
      <w:r>
        <w:t>email</w:t>
      </w:r>
      <w:proofErr w:type="gramEnd"/>
      <w:r>
        <w:t xml:space="preserve">: </w:t>
      </w:r>
      <w:hyperlink r:id="rId8" w:history="1">
        <w:r w:rsidRPr="002A0976">
          <w:rPr>
            <w:rStyle w:val="Hiperhivatkozs"/>
          </w:rPr>
          <w:t>varga.andras.8802@gmail.com</w:t>
        </w:r>
      </w:hyperlink>
    </w:p>
    <w:p w14:paraId="7F200F6B" w14:textId="5C50EB5C" w:rsidR="00715555" w:rsidRPr="00715555" w:rsidRDefault="00715555" w:rsidP="00715555">
      <w:pPr>
        <w:spacing w:after="160" w:line="360" w:lineRule="auto"/>
        <w:jc w:val="both"/>
        <w:rPr>
          <w:rFonts w:eastAsia="Calibri"/>
          <w:b/>
          <w:sz w:val="22"/>
          <w:szCs w:val="22"/>
        </w:rPr>
      </w:pPr>
      <w:r w:rsidRPr="00715555">
        <w:rPr>
          <w:rFonts w:eastAsia="Calibri"/>
          <w:b/>
          <w:sz w:val="22"/>
          <w:szCs w:val="22"/>
        </w:rPr>
        <w:t xml:space="preserve">Brief description </w:t>
      </w:r>
    </w:p>
    <w:p w14:paraId="0BFC75C8" w14:textId="77777777" w:rsidR="00715555" w:rsidRPr="00715555" w:rsidRDefault="00715555" w:rsidP="00715555">
      <w:pPr>
        <w:spacing w:after="160" w:line="360" w:lineRule="auto"/>
        <w:jc w:val="both"/>
        <w:rPr>
          <w:rFonts w:eastAsia="Calibri"/>
          <w:sz w:val="22"/>
          <w:szCs w:val="22"/>
        </w:rPr>
      </w:pPr>
      <w:r w:rsidRPr="00715555">
        <w:rPr>
          <w:rFonts w:eastAsia="Calibri"/>
          <w:sz w:val="22"/>
          <w:szCs w:val="22"/>
        </w:rPr>
        <w:t xml:space="preserve">The </w:t>
      </w:r>
      <w:proofErr w:type="spellStart"/>
      <w:r w:rsidRPr="00715555">
        <w:rPr>
          <w:rFonts w:eastAsia="Calibri"/>
          <w:sz w:val="22"/>
          <w:szCs w:val="22"/>
        </w:rPr>
        <w:t>Visegrad</w:t>
      </w:r>
      <w:proofErr w:type="spellEnd"/>
      <w:r w:rsidRPr="00715555">
        <w:rPr>
          <w:rFonts w:eastAsia="Calibri"/>
          <w:sz w:val="22"/>
          <w:szCs w:val="22"/>
        </w:rPr>
        <w:t xml:space="preserve"> cooperation’s origins are falling back to the 14th century. However, the V4 countries (Hungary, Poland, Slovakia and the Czech Republic) have founded Central Europe’s first intergovernmental organization in the beginnings of the 90s. Although the four EU member-states do have common interests, we are witnessing divergence in their cooperation as well.</w:t>
      </w:r>
    </w:p>
    <w:p w14:paraId="6F3F4183" w14:textId="77777777" w:rsidR="00715555" w:rsidRPr="00715555" w:rsidRDefault="00715555" w:rsidP="00715555">
      <w:pPr>
        <w:spacing w:after="160" w:line="360" w:lineRule="auto"/>
        <w:jc w:val="both"/>
        <w:rPr>
          <w:rFonts w:eastAsia="Calibri"/>
          <w:sz w:val="22"/>
          <w:szCs w:val="22"/>
        </w:rPr>
      </w:pPr>
      <w:r w:rsidRPr="00715555">
        <w:rPr>
          <w:rFonts w:eastAsia="Calibri"/>
          <w:sz w:val="22"/>
          <w:szCs w:val="22"/>
        </w:rPr>
        <w:t>The course seeks to describe the concept of Central Europe and the character of the ‘semi-periphery’ and analyzes the V4 actions in the intra- and international and the European ambient as well. During the semester, students are going to analyze the origins of the cooperation, the V4 and its members’ activity in the European and the global framework as well.</w:t>
      </w:r>
    </w:p>
    <w:p w14:paraId="68C11FD8" w14:textId="77777777" w:rsidR="00715555" w:rsidRPr="00715555" w:rsidRDefault="00715555" w:rsidP="00715555">
      <w:pPr>
        <w:spacing w:after="160" w:line="360" w:lineRule="auto"/>
        <w:jc w:val="both"/>
        <w:rPr>
          <w:rFonts w:eastAsia="Calibri"/>
          <w:b/>
          <w:sz w:val="22"/>
          <w:szCs w:val="22"/>
        </w:rPr>
      </w:pPr>
      <w:r w:rsidRPr="00715555">
        <w:rPr>
          <w:rFonts w:eastAsia="Calibri"/>
          <w:b/>
          <w:sz w:val="22"/>
          <w:szCs w:val="22"/>
        </w:rPr>
        <w:t>Course requirements</w:t>
      </w:r>
    </w:p>
    <w:p w14:paraId="53EF98FA" w14:textId="77777777" w:rsidR="00715555" w:rsidRPr="00715555" w:rsidRDefault="00715555" w:rsidP="00715555">
      <w:pPr>
        <w:numPr>
          <w:ilvl w:val="0"/>
          <w:numId w:val="12"/>
        </w:numPr>
        <w:spacing w:after="160" w:line="360" w:lineRule="auto"/>
        <w:contextualSpacing/>
        <w:jc w:val="both"/>
        <w:rPr>
          <w:rFonts w:eastAsia="Calibri"/>
          <w:sz w:val="22"/>
          <w:szCs w:val="22"/>
        </w:rPr>
      </w:pPr>
      <w:r w:rsidRPr="00715555">
        <w:rPr>
          <w:rFonts w:eastAsia="Calibri"/>
          <w:sz w:val="22"/>
          <w:szCs w:val="22"/>
        </w:rPr>
        <w:t>attendance</w:t>
      </w:r>
    </w:p>
    <w:p w14:paraId="29CCA429" w14:textId="77777777" w:rsidR="00715555" w:rsidRPr="00715555" w:rsidRDefault="00715555" w:rsidP="00715555">
      <w:pPr>
        <w:numPr>
          <w:ilvl w:val="0"/>
          <w:numId w:val="12"/>
        </w:numPr>
        <w:spacing w:after="160" w:line="360" w:lineRule="auto"/>
        <w:contextualSpacing/>
        <w:jc w:val="both"/>
        <w:rPr>
          <w:rFonts w:eastAsia="Calibri"/>
          <w:sz w:val="22"/>
          <w:szCs w:val="22"/>
        </w:rPr>
      </w:pPr>
      <w:r w:rsidRPr="00715555">
        <w:rPr>
          <w:rFonts w:eastAsia="Calibri"/>
          <w:sz w:val="22"/>
          <w:szCs w:val="22"/>
        </w:rPr>
        <w:t xml:space="preserve">reading and homework assignments; </w:t>
      </w:r>
    </w:p>
    <w:p w14:paraId="2AC27D9B" w14:textId="77777777" w:rsidR="00715555" w:rsidRPr="00715555" w:rsidRDefault="00715555" w:rsidP="00715555">
      <w:pPr>
        <w:numPr>
          <w:ilvl w:val="0"/>
          <w:numId w:val="12"/>
        </w:numPr>
        <w:spacing w:after="160" w:line="360" w:lineRule="auto"/>
        <w:contextualSpacing/>
        <w:jc w:val="both"/>
        <w:rPr>
          <w:rFonts w:eastAsia="Calibri"/>
          <w:sz w:val="22"/>
          <w:szCs w:val="22"/>
        </w:rPr>
      </w:pPr>
      <w:r w:rsidRPr="00715555">
        <w:rPr>
          <w:rFonts w:eastAsia="Calibri"/>
          <w:sz w:val="22"/>
          <w:szCs w:val="22"/>
        </w:rPr>
        <w:t xml:space="preserve">participation in class discussion </w:t>
      </w:r>
    </w:p>
    <w:p w14:paraId="02596C71" w14:textId="77777777" w:rsidR="00715555" w:rsidRPr="00715555" w:rsidRDefault="00715555" w:rsidP="00715555">
      <w:pPr>
        <w:numPr>
          <w:ilvl w:val="0"/>
          <w:numId w:val="12"/>
        </w:numPr>
        <w:spacing w:after="160" w:line="360" w:lineRule="auto"/>
        <w:contextualSpacing/>
        <w:jc w:val="both"/>
        <w:rPr>
          <w:rFonts w:eastAsia="Calibri"/>
          <w:sz w:val="22"/>
          <w:szCs w:val="22"/>
        </w:rPr>
      </w:pPr>
      <w:r w:rsidRPr="00715555">
        <w:rPr>
          <w:rFonts w:eastAsia="Calibri"/>
          <w:sz w:val="22"/>
          <w:szCs w:val="22"/>
        </w:rPr>
        <w:t>student presentation (1 for each student) – scheduled at any class of the semester</w:t>
      </w:r>
    </w:p>
    <w:p w14:paraId="3BA1E951" w14:textId="77777777" w:rsidR="00715555" w:rsidRPr="00715555" w:rsidRDefault="00715555" w:rsidP="00715555">
      <w:pPr>
        <w:numPr>
          <w:ilvl w:val="0"/>
          <w:numId w:val="12"/>
        </w:numPr>
        <w:spacing w:after="160" w:line="360" w:lineRule="auto"/>
        <w:contextualSpacing/>
        <w:jc w:val="both"/>
        <w:rPr>
          <w:rFonts w:eastAsia="Calibri"/>
          <w:sz w:val="22"/>
          <w:szCs w:val="22"/>
        </w:rPr>
      </w:pPr>
      <w:r w:rsidRPr="00715555">
        <w:rPr>
          <w:rFonts w:eastAsia="Calibri"/>
          <w:sz w:val="22"/>
          <w:szCs w:val="22"/>
        </w:rPr>
        <w:t>A 5-page essay about a chosen topic of the semester</w:t>
      </w:r>
    </w:p>
    <w:p w14:paraId="4D80A018" w14:textId="77777777" w:rsidR="00715555" w:rsidRPr="00715555" w:rsidRDefault="00715555" w:rsidP="00715555">
      <w:pPr>
        <w:numPr>
          <w:ilvl w:val="0"/>
          <w:numId w:val="12"/>
        </w:numPr>
        <w:spacing w:after="160" w:line="360" w:lineRule="auto"/>
        <w:contextualSpacing/>
        <w:jc w:val="both"/>
        <w:rPr>
          <w:rFonts w:eastAsia="Calibri"/>
          <w:sz w:val="22"/>
          <w:szCs w:val="22"/>
        </w:rPr>
      </w:pPr>
      <w:r w:rsidRPr="00715555">
        <w:rPr>
          <w:rFonts w:eastAsia="Calibri"/>
          <w:sz w:val="22"/>
          <w:szCs w:val="22"/>
        </w:rPr>
        <w:t>in-class exam at the end of the semester</w:t>
      </w:r>
    </w:p>
    <w:p w14:paraId="114CEB02" w14:textId="77777777" w:rsidR="00715555" w:rsidRDefault="00715555" w:rsidP="00715555">
      <w:pPr>
        <w:spacing w:after="160" w:line="360" w:lineRule="auto"/>
        <w:jc w:val="both"/>
        <w:rPr>
          <w:rFonts w:eastAsia="Calibri"/>
          <w:b/>
          <w:sz w:val="22"/>
          <w:szCs w:val="22"/>
        </w:rPr>
      </w:pPr>
    </w:p>
    <w:p w14:paraId="37734F5F" w14:textId="13D5FB5B" w:rsidR="00715555" w:rsidRPr="00715555" w:rsidRDefault="00715555" w:rsidP="00715555">
      <w:pPr>
        <w:spacing w:after="160" w:line="360" w:lineRule="auto"/>
        <w:jc w:val="both"/>
        <w:rPr>
          <w:rFonts w:eastAsia="Calibri"/>
          <w:b/>
          <w:sz w:val="22"/>
          <w:szCs w:val="22"/>
        </w:rPr>
      </w:pPr>
      <w:r>
        <w:rPr>
          <w:rFonts w:eastAsia="Calibri"/>
          <w:b/>
          <w:sz w:val="22"/>
          <w:szCs w:val="22"/>
        </w:rPr>
        <w:t>Weekly s</w:t>
      </w:r>
      <w:r w:rsidRPr="00715555">
        <w:rPr>
          <w:rFonts w:eastAsia="Calibri"/>
          <w:b/>
          <w:sz w:val="22"/>
          <w:szCs w:val="22"/>
        </w:rPr>
        <w:t>chedule</w:t>
      </w:r>
    </w:p>
    <w:tbl>
      <w:tblPr>
        <w:tblStyle w:val="Rcsostblzat1"/>
        <w:tblW w:w="10394" w:type="dxa"/>
        <w:tblInd w:w="-431" w:type="dxa"/>
        <w:tblLayout w:type="fixed"/>
        <w:tblLook w:val="04A0" w:firstRow="1" w:lastRow="0" w:firstColumn="1" w:lastColumn="0" w:noHBand="0" w:noVBand="1"/>
      </w:tblPr>
      <w:tblGrid>
        <w:gridCol w:w="699"/>
        <w:gridCol w:w="2421"/>
        <w:gridCol w:w="7274"/>
      </w:tblGrid>
      <w:tr w:rsidR="00715555" w:rsidRPr="00715555" w14:paraId="445762E5" w14:textId="77777777" w:rsidTr="00715555">
        <w:tc>
          <w:tcPr>
            <w:tcW w:w="699" w:type="dxa"/>
          </w:tcPr>
          <w:p w14:paraId="5DB8D26A" w14:textId="77777777" w:rsidR="00715555" w:rsidRPr="00715555" w:rsidRDefault="00715555" w:rsidP="00715555">
            <w:pPr>
              <w:spacing w:line="360" w:lineRule="auto"/>
              <w:jc w:val="both"/>
              <w:rPr>
                <w:rFonts w:eastAsia="Calibri"/>
                <w:b/>
                <w:sz w:val="22"/>
                <w:szCs w:val="22"/>
              </w:rPr>
            </w:pPr>
            <w:r w:rsidRPr="00715555">
              <w:rPr>
                <w:rFonts w:eastAsia="Calibri"/>
                <w:b/>
                <w:sz w:val="22"/>
                <w:szCs w:val="22"/>
              </w:rPr>
              <w:t>week</w:t>
            </w:r>
          </w:p>
        </w:tc>
        <w:tc>
          <w:tcPr>
            <w:tcW w:w="2421" w:type="dxa"/>
          </w:tcPr>
          <w:p w14:paraId="166D23B9" w14:textId="77777777" w:rsidR="00715555" w:rsidRPr="00715555" w:rsidRDefault="00715555" w:rsidP="00715555">
            <w:pPr>
              <w:spacing w:line="360" w:lineRule="auto"/>
              <w:jc w:val="both"/>
              <w:rPr>
                <w:rFonts w:eastAsia="Calibri"/>
                <w:b/>
                <w:sz w:val="22"/>
                <w:szCs w:val="22"/>
              </w:rPr>
            </w:pPr>
            <w:r w:rsidRPr="00715555">
              <w:rPr>
                <w:rFonts w:eastAsia="Calibri"/>
                <w:b/>
                <w:sz w:val="22"/>
                <w:szCs w:val="22"/>
              </w:rPr>
              <w:t>topics</w:t>
            </w:r>
          </w:p>
        </w:tc>
        <w:tc>
          <w:tcPr>
            <w:tcW w:w="7274" w:type="dxa"/>
          </w:tcPr>
          <w:p w14:paraId="7400234E" w14:textId="77777777" w:rsidR="00715555" w:rsidRPr="00715555" w:rsidRDefault="00715555" w:rsidP="00715555">
            <w:pPr>
              <w:tabs>
                <w:tab w:val="left" w:pos="2700"/>
              </w:tabs>
              <w:spacing w:line="360" w:lineRule="auto"/>
              <w:ind w:left="48"/>
              <w:jc w:val="both"/>
              <w:rPr>
                <w:rFonts w:eastAsia="Calibri"/>
                <w:b/>
                <w:sz w:val="22"/>
                <w:szCs w:val="22"/>
              </w:rPr>
            </w:pPr>
            <w:r w:rsidRPr="00715555">
              <w:rPr>
                <w:rFonts w:eastAsia="Calibri"/>
                <w:b/>
                <w:sz w:val="22"/>
                <w:szCs w:val="22"/>
              </w:rPr>
              <w:t>additional readings</w:t>
            </w:r>
          </w:p>
        </w:tc>
      </w:tr>
      <w:tr w:rsidR="00715555" w:rsidRPr="00715555" w14:paraId="39F8CAEF" w14:textId="77777777" w:rsidTr="00715555">
        <w:tc>
          <w:tcPr>
            <w:tcW w:w="699" w:type="dxa"/>
          </w:tcPr>
          <w:p w14:paraId="6779B2E5" w14:textId="77777777" w:rsidR="00715555" w:rsidRPr="00715555" w:rsidRDefault="00715555" w:rsidP="00715555">
            <w:pPr>
              <w:numPr>
                <w:ilvl w:val="0"/>
                <w:numId w:val="11"/>
              </w:numPr>
              <w:spacing w:before="240" w:after="160" w:line="360" w:lineRule="auto"/>
              <w:ind w:left="285"/>
              <w:contextualSpacing/>
              <w:jc w:val="both"/>
              <w:rPr>
                <w:rFonts w:eastAsia="Calibri"/>
                <w:sz w:val="22"/>
                <w:szCs w:val="22"/>
              </w:rPr>
            </w:pPr>
          </w:p>
        </w:tc>
        <w:tc>
          <w:tcPr>
            <w:tcW w:w="2421" w:type="dxa"/>
          </w:tcPr>
          <w:p w14:paraId="42D0F4E0" w14:textId="77777777" w:rsidR="00715555" w:rsidRPr="00715555" w:rsidRDefault="00715555" w:rsidP="00715555">
            <w:pPr>
              <w:spacing w:before="240" w:line="360" w:lineRule="auto"/>
              <w:jc w:val="both"/>
              <w:rPr>
                <w:rFonts w:eastAsia="Calibri"/>
                <w:sz w:val="22"/>
                <w:szCs w:val="22"/>
              </w:rPr>
            </w:pPr>
            <w:r w:rsidRPr="00715555">
              <w:rPr>
                <w:rFonts w:eastAsia="Calibri"/>
                <w:sz w:val="22"/>
                <w:szCs w:val="22"/>
              </w:rPr>
              <w:t xml:space="preserve">Introduction: basic concepts: concept of Central Europe, core - semi-periphery - periphery, V4, </w:t>
            </w:r>
            <w:proofErr w:type="spellStart"/>
            <w:r w:rsidRPr="00715555">
              <w:rPr>
                <w:rFonts w:eastAsia="Calibri"/>
                <w:sz w:val="22"/>
                <w:szCs w:val="22"/>
              </w:rPr>
              <w:t>Visegrád</w:t>
            </w:r>
            <w:proofErr w:type="spellEnd"/>
          </w:p>
        </w:tc>
        <w:tc>
          <w:tcPr>
            <w:tcW w:w="7274" w:type="dxa"/>
          </w:tcPr>
          <w:p w14:paraId="654F0E9D" w14:textId="77777777" w:rsidR="00715555" w:rsidRPr="00715555" w:rsidRDefault="00715555" w:rsidP="00715555">
            <w:pPr>
              <w:spacing w:before="240" w:line="360" w:lineRule="auto"/>
              <w:ind w:left="48"/>
              <w:jc w:val="both"/>
              <w:rPr>
                <w:rFonts w:eastAsia="Calibri"/>
                <w:sz w:val="22"/>
                <w:szCs w:val="22"/>
              </w:rPr>
            </w:pPr>
            <w:r w:rsidRPr="00715555">
              <w:rPr>
                <w:rFonts w:eastAsia="Calibri"/>
                <w:sz w:val="22"/>
                <w:szCs w:val="22"/>
              </w:rPr>
              <w:t xml:space="preserve">Timothy </w:t>
            </w:r>
            <w:proofErr w:type="spellStart"/>
            <w:r w:rsidRPr="00715555">
              <w:rPr>
                <w:rFonts w:eastAsia="Calibri"/>
                <w:sz w:val="22"/>
                <w:szCs w:val="22"/>
              </w:rPr>
              <w:t>Garton</w:t>
            </w:r>
            <w:proofErr w:type="spellEnd"/>
            <w:r w:rsidRPr="00715555">
              <w:rPr>
                <w:rFonts w:eastAsia="Calibri"/>
                <w:sz w:val="22"/>
                <w:szCs w:val="22"/>
              </w:rPr>
              <w:t xml:space="preserve"> Ash (2006): Does Central Europe exist? in Andrzej </w:t>
            </w:r>
            <w:proofErr w:type="spellStart"/>
            <w:r w:rsidRPr="00715555">
              <w:rPr>
                <w:rFonts w:eastAsia="Calibri"/>
                <w:sz w:val="22"/>
                <w:szCs w:val="22"/>
              </w:rPr>
              <w:t>Jagodziński</w:t>
            </w:r>
            <w:proofErr w:type="spellEnd"/>
            <w:r w:rsidRPr="00715555">
              <w:rPr>
                <w:rFonts w:eastAsia="Calibri"/>
                <w:sz w:val="22"/>
                <w:szCs w:val="22"/>
              </w:rPr>
              <w:t xml:space="preserve"> (ed.) (2006): The </w:t>
            </w:r>
            <w:proofErr w:type="spellStart"/>
            <w:r w:rsidRPr="00715555">
              <w:rPr>
                <w:rFonts w:eastAsia="Calibri"/>
                <w:sz w:val="22"/>
                <w:szCs w:val="22"/>
              </w:rPr>
              <w:t>Visegrad</w:t>
            </w:r>
            <w:proofErr w:type="spellEnd"/>
            <w:r w:rsidRPr="00715555">
              <w:rPr>
                <w:rFonts w:eastAsia="Calibri"/>
                <w:sz w:val="22"/>
                <w:szCs w:val="22"/>
              </w:rPr>
              <w:t xml:space="preserve"> Group – A Central European Constellation, Bratislava: International </w:t>
            </w:r>
            <w:proofErr w:type="spellStart"/>
            <w:r w:rsidRPr="00715555">
              <w:rPr>
                <w:rFonts w:eastAsia="Calibri"/>
                <w:sz w:val="22"/>
                <w:szCs w:val="22"/>
              </w:rPr>
              <w:t>Visegrad</w:t>
            </w:r>
            <w:proofErr w:type="spellEnd"/>
            <w:r w:rsidRPr="00715555">
              <w:rPr>
                <w:rFonts w:eastAsia="Calibri"/>
                <w:sz w:val="22"/>
                <w:szCs w:val="22"/>
              </w:rPr>
              <w:t xml:space="preserve"> Fund, 2006 </w:t>
            </w:r>
            <w:hyperlink r:id="rId9" w:history="1">
              <w:r w:rsidRPr="00715555">
                <w:rPr>
                  <w:rFonts w:eastAsia="Calibri"/>
                  <w:color w:val="0000FF"/>
                  <w:sz w:val="22"/>
                  <w:szCs w:val="22"/>
                  <w:u w:val="single"/>
                </w:rPr>
                <w:t>http://www.visegradgroup.eu/the-visegrad-book/visegradbook</w:t>
              </w:r>
            </w:hyperlink>
            <w:r w:rsidRPr="00715555">
              <w:rPr>
                <w:rFonts w:eastAsia="Calibri"/>
                <w:sz w:val="22"/>
                <w:szCs w:val="22"/>
              </w:rPr>
              <w:t xml:space="preserve"> </w:t>
            </w:r>
          </w:p>
          <w:p w14:paraId="24F083B0" w14:textId="77777777" w:rsidR="00715555" w:rsidRPr="00715555" w:rsidRDefault="00715555" w:rsidP="00715555">
            <w:pPr>
              <w:spacing w:before="240" w:line="360" w:lineRule="auto"/>
              <w:ind w:left="48"/>
              <w:jc w:val="both"/>
              <w:rPr>
                <w:rFonts w:eastAsia="Calibri"/>
                <w:sz w:val="22"/>
                <w:szCs w:val="22"/>
              </w:rPr>
            </w:pPr>
            <w:r w:rsidRPr="00715555">
              <w:rPr>
                <w:rFonts w:eastAsia="Calibri"/>
                <w:sz w:val="22"/>
                <w:szCs w:val="22"/>
              </w:rPr>
              <w:t xml:space="preserve">Timothy </w:t>
            </w:r>
            <w:proofErr w:type="spellStart"/>
            <w:r w:rsidRPr="00715555">
              <w:rPr>
                <w:rFonts w:eastAsia="Calibri"/>
                <w:sz w:val="22"/>
                <w:szCs w:val="22"/>
              </w:rPr>
              <w:t>Garton</w:t>
            </w:r>
            <w:proofErr w:type="spellEnd"/>
            <w:r w:rsidRPr="00715555">
              <w:rPr>
                <w:rFonts w:eastAsia="Calibri"/>
                <w:sz w:val="22"/>
                <w:szCs w:val="22"/>
              </w:rPr>
              <w:t xml:space="preserve"> Ash (2006): The puzzle of Central Europe? in Andrzej </w:t>
            </w:r>
            <w:proofErr w:type="spellStart"/>
            <w:r w:rsidRPr="00715555">
              <w:rPr>
                <w:rFonts w:eastAsia="Calibri"/>
                <w:sz w:val="22"/>
                <w:szCs w:val="22"/>
              </w:rPr>
              <w:t>Jagodziński</w:t>
            </w:r>
            <w:proofErr w:type="spellEnd"/>
            <w:r w:rsidRPr="00715555">
              <w:rPr>
                <w:rFonts w:eastAsia="Calibri"/>
                <w:sz w:val="22"/>
                <w:szCs w:val="22"/>
              </w:rPr>
              <w:t xml:space="preserve"> (ed.) (2006): The </w:t>
            </w:r>
            <w:proofErr w:type="spellStart"/>
            <w:r w:rsidRPr="00715555">
              <w:rPr>
                <w:rFonts w:eastAsia="Calibri"/>
                <w:sz w:val="22"/>
                <w:szCs w:val="22"/>
              </w:rPr>
              <w:t>Visegrad</w:t>
            </w:r>
            <w:proofErr w:type="spellEnd"/>
            <w:r w:rsidRPr="00715555">
              <w:rPr>
                <w:rFonts w:eastAsia="Calibri"/>
                <w:sz w:val="22"/>
                <w:szCs w:val="22"/>
              </w:rPr>
              <w:t xml:space="preserve"> Group – A Central European </w:t>
            </w:r>
            <w:r w:rsidRPr="00715555">
              <w:rPr>
                <w:rFonts w:eastAsia="Calibri"/>
                <w:sz w:val="22"/>
                <w:szCs w:val="22"/>
              </w:rPr>
              <w:lastRenderedPageBreak/>
              <w:t xml:space="preserve">Constellation, Bratislava: International </w:t>
            </w:r>
            <w:proofErr w:type="spellStart"/>
            <w:r w:rsidRPr="00715555">
              <w:rPr>
                <w:rFonts w:eastAsia="Calibri"/>
                <w:sz w:val="22"/>
                <w:szCs w:val="22"/>
              </w:rPr>
              <w:t>Visegrad</w:t>
            </w:r>
            <w:proofErr w:type="spellEnd"/>
            <w:r w:rsidRPr="00715555">
              <w:rPr>
                <w:rFonts w:eastAsia="Calibri"/>
                <w:sz w:val="22"/>
                <w:szCs w:val="22"/>
              </w:rPr>
              <w:t xml:space="preserve"> Fund, 2006 </w:t>
            </w:r>
            <w:hyperlink r:id="rId10" w:history="1">
              <w:r w:rsidRPr="00715555">
                <w:rPr>
                  <w:rFonts w:eastAsia="Calibri"/>
                  <w:color w:val="0000FF"/>
                  <w:sz w:val="22"/>
                  <w:szCs w:val="22"/>
                  <w:u w:val="single"/>
                </w:rPr>
                <w:t>http://www.visegradgroup.eu/the-visegrad-book/visegradbook</w:t>
              </w:r>
            </w:hyperlink>
          </w:p>
        </w:tc>
      </w:tr>
      <w:tr w:rsidR="00715555" w:rsidRPr="00715555" w14:paraId="09D18FA3" w14:textId="77777777" w:rsidTr="00715555">
        <w:tc>
          <w:tcPr>
            <w:tcW w:w="699" w:type="dxa"/>
          </w:tcPr>
          <w:p w14:paraId="188DFE0E" w14:textId="77777777" w:rsidR="00715555" w:rsidRPr="00715555" w:rsidRDefault="00715555" w:rsidP="00715555">
            <w:pPr>
              <w:numPr>
                <w:ilvl w:val="0"/>
                <w:numId w:val="11"/>
              </w:numPr>
              <w:spacing w:before="240" w:after="160" w:line="360" w:lineRule="auto"/>
              <w:ind w:left="285"/>
              <w:contextualSpacing/>
              <w:jc w:val="both"/>
              <w:rPr>
                <w:rFonts w:eastAsia="Calibri"/>
                <w:sz w:val="22"/>
                <w:szCs w:val="22"/>
              </w:rPr>
            </w:pPr>
          </w:p>
        </w:tc>
        <w:tc>
          <w:tcPr>
            <w:tcW w:w="2421" w:type="dxa"/>
          </w:tcPr>
          <w:p w14:paraId="1A5820A7" w14:textId="77777777" w:rsidR="00715555" w:rsidRPr="00715555" w:rsidRDefault="00715555" w:rsidP="00715555">
            <w:pPr>
              <w:spacing w:before="240" w:line="360" w:lineRule="auto"/>
              <w:jc w:val="both"/>
              <w:rPr>
                <w:rFonts w:eastAsia="Calibri"/>
                <w:sz w:val="22"/>
                <w:szCs w:val="22"/>
              </w:rPr>
            </w:pPr>
            <w:r w:rsidRPr="00715555">
              <w:rPr>
                <w:rFonts w:eastAsia="Calibri"/>
                <w:sz w:val="22"/>
                <w:szCs w:val="22"/>
              </w:rPr>
              <w:t>Why together?: reasons to join; Polish, Czech, Hungarian and Slovakian motivations; external pressure</w:t>
            </w:r>
          </w:p>
        </w:tc>
        <w:tc>
          <w:tcPr>
            <w:tcW w:w="7274" w:type="dxa"/>
          </w:tcPr>
          <w:p w14:paraId="41E957AC" w14:textId="77777777" w:rsidR="00715555" w:rsidRPr="00715555" w:rsidRDefault="00715555" w:rsidP="00715555">
            <w:pPr>
              <w:spacing w:before="240" w:line="360" w:lineRule="auto"/>
              <w:ind w:left="48"/>
              <w:jc w:val="both"/>
              <w:rPr>
                <w:rFonts w:eastAsia="Calibri"/>
                <w:sz w:val="22"/>
                <w:szCs w:val="22"/>
              </w:rPr>
            </w:pPr>
            <w:r w:rsidRPr="00715555">
              <w:rPr>
                <w:rFonts w:eastAsia="Calibri"/>
                <w:sz w:val="22"/>
                <w:szCs w:val="22"/>
              </w:rPr>
              <w:t xml:space="preserve">Andrzej </w:t>
            </w:r>
            <w:proofErr w:type="spellStart"/>
            <w:r w:rsidRPr="00715555">
              <w:rPr>
                <w:rFonts w:eastAsia="Calibri"/>
                <w:sz w:val="22"/>
                <w:szCs w:val="22"/>
              </w:rPr>
              <w:t>Jagodziński</w:t>
            </w:r>
            <w:proofErr w:type="spellEnd"/>
            <w:r w:rsidRPr="00715555">
              <w:rPr>
                <w:rFonts w:eastAsia="Calibri"/>
                <w:sz w:val="22"/>
                <w:szCs w:val="22"/>
              </w:rPr>
              <w:t xml:space="preserve"> (ed.) (2006): The </w:t>
            </w:r>
            <w:proofErr w:type="spellStart"/>
            <w:r w:rsidRPr="00715555">
              <w:rPr>
                <w:rFonts w:eastAsia="Calibri"/>
                <w:sz w:val="22"/>
                <w:szCs w:val="22"/>
              </w:rPr>
              <w:t>Visegrad</w:t>
            </w:r>
            <w:proofErr w:type="spellEnd"/>
            <w:r w:rsidRPr="00715555">
              <w:rPr>
                <w:rFonts w:eastAsia="Calibri"/>
                <w:sz w:val="22"/>
                <w:szCs w:val="22"/>
              </w:rPr>
              <w:t xml:space="preserve"> Group – A Central European Constellation, Bratislava: International </w:t>
            </w:r>
            <w:proofErr w:type="spellStart"/>
            <w:r w:rsidRPr="00715555">
              <w:rPr>
                <w:rFonts w:eastAsia="Calibri"/>
                <w:sz w:val="22"/>
                <w:szCs w:val="22"/>
              </w:rPr>
              <w:t>Visegrad</w:t>
            </w:r>
            <w:proofErr w:type="spellEnd"/>
            <w:r w:rsidRPr="00715555">
              <w:rPr>
                <w:rFonts w:eastAsia="Calibri"/>
                <w:sz w:val="22"/>
                <w:szCs w:val="22"/>
              </w:rPr>
              <w:t xml:space="preserve"> Fund, 2006 </w:t>
            </w:r>
            <w:hyperlink r:id="rId11" w:history="1">
              <w:r w:rsidRPr="00715555">
                <w:rPr>
                  <w:rFonts w:eastAsia="Calibri"/>
                  <w:color w:val="0000FF"/>
                  <w:sz w:val="22"/>
                  <w:szCs w:val="22"/>
                  <w:u w:val="single"/>
                </w:rPr>
                <w:t>http://www.visegradgroup.eu/the-visegrad-book/visegradbook</w:t>
              </w:r>
            </w:hyperlink>
          </w:p>
          <w:p w14:paraId="2120FE89" w14:textId="5C958F89" w:rsidR="00715555" w:rsidRPr="00715555" w:rsidRDefault="00715555" w:rsidP="00715555">
            <w:pPr>
              <w:spacing w:before="240" w:line="360" w:lineRule="auto"/>
              <w:ind w:left="48"/>
              <w:jc w:val="both"/>
              <w:rPr>
                <w:rFonts w:eastAsia="Calibri"/>
                <w:sz w:val="22"/>
                <w:szCs w:val="22"/>
              </w:rPr>
            </w:pPr>
            <w:proofErr w:type="spellStart"/>
            <w:r w:rsidRPr="00715555">
              <w:rPr>
                <w:rFonts w:eastAsia="Calibri"/>
                <w:sz w:val="22"/>
                <w:szCs w:val="22"/>
              </w:rPr>
              <w:t>Oľga</w:t>
            </w:r>
            <w:proofErr w:type="spellEnd"/>
            <w:r w:rsidRPr="00715555">
              <w:rPr>
                <w:rFonts w:eastAsia="Calibri"/>
                <w:sz w:val="22"/>
                <w:szCs w:val="22"/>
              </w:rPr>
              <w:t xml:space="preserve"> </w:t>
            </w:r>
            <w:proofErr w:type="spellStart"/>
            <w:r w:rsidRPr="00715555">
              <w:rPr>
                <w:rFonts w:eastAsia="Calibri"/>
                <w:sz w:val="22"/>
                <w:szCs w:val="22"/>
              </w:rPr>
              <w:t>Gyárfášová</w:t>
            </w:r>
            <w:proofErr w:type="spellEnd"/>
            <w:r w:rsidRPr="00715555">
              <w:rPr>
                <w:rFonts w:eastAsia="Calibri"/>
                <w:sz w:val="22"/>
                <w:szCs w:val="22"/>
              </w:rPr>
              <w:t xml:space="preserve">, </w:t>
            </w:r>
            <w:proofErr w:type="spellStart"/>
            <w:r w:rsidRPr="00715555">
              <w:rPr>
                <w:rFonts w:eastAsia="Calibri"/>
                <w:sz w:val="22"/>
                <w:szCs w:val="22"/>
              </w:rPr>
              <w:t>Grigorij</w:t>
            </w:r>
            <w:proofErr w:type="spellEnd"/>
            <w:r w:rsidRPr="00715555">
              <w:rPr>
                <w:rFonts w:eastAsia="Calibri"/>
                <w:sz w:val="22"/>
                <w:szCs w:val="22"/>
              </w:rPr>
              <w:t xml:space="preserve"> </w:t>
            </w:r>
            <w:proofErr w:type="spellStart"/>
            <w:r w:rsidRPr="00715555">
              <w:rPr>
                <w:rFonts w:eastAsia="Calibri"/>
                <w:sz w:val="22"/>
                <w:szCs w:val="22"/>
              </w:rPr>
              <w:t>Mesežnikov</w:t>
            </w:r>
            <w:proofErr w:type="spellEnd"/>
            <w:r w:rsidRPr="00715555">
              <w:rPr>
                <w:rFonts w:eastAsia="Calibri"/>
                <w:sz w:val="22"/>
                <w:szCs w:val="22"/>
              </w:rPr>
              <w:t xml:space="preserve"> (2016): 25 Years of the V4 as Seen by the Public, Institute for Public Affairs, Bratislava 2016, </w:t>
            </w:r>
            <w:hyperlink r:id="rId12" w:history="1">
              <w:r w:rsidRPr="00715555">
                <w:rPr>
                  <w:rFonts w:eastAsia="Calibri"/>
                  <w:color w:val="0000FF"/>
                  <w:sz w:val="22"/>
                  <w:szCs w:val="22"/>
                  <w:u w:val="single"/>
                </w:rPr>
                <w:t>http://www.visegradgroup.eu/documents/other-articles/key-findings25-years-of-160601-1</w:t>
              </w:r>
            </w:hyperlink>
          </w:p>
        </w:tc>
      </w:tr>
      <w:tr w:rsidR="00715555" w:rsidRPr="00715555" w14:paraId="73BF0E5D" w14:textId="77777777" w:rsidTr="00715555">
        <w:tc>
          <w:tcPr>
            <w:tcW w:w="699" w:type="dxa"/>
          </w:tcPr>
          <w:p w14:paraId="478006BA" w14:textId="77777777" w:rsidR="00715555" w:rsidRPr="00715555" w:rsidRDefault="00715555" w:rsidP="00715555">
            <w:pPr>
              <w:numPr>
                <w:ilvl w:val="0"/>
                <w:numId w:val="11"/>
              </w:numPr>
              <w:spacing w:before="240" w:after="160" w:line="360" w:lineRule="auto"/>
              <w:ind w:left="285"/>
              <w:contextualSpacing/>
              <w:jc w:val="both"/>
              <w:rPr>
                <w:rFonts w:eastAsia="Calibri"/>
                <w:sz w:val="22"/>
                <w:szCs w:val="22"/>
              </w:rPr>
            </w:pPr>
          </w:p>
        </w:tc>
        <w:tc>
          <w:tcPr>
            <w:tcW w:w="2421" w:type="dxa"/>
          </w:tcPr>
          <w:p w14:paraId="158EF559" w14:textId="77777777" w:rsidR="00715555" w:rsidRPr="00715555" w:rsidRDefault="00715555" w:rsidP="00715555">
            <w:pPr>
              <w:spacing w:before="240" w:line="360" w:lineRule="auto"/>
              <w:jc w:val="both"/>
              <w:rPr>
                <w:rFonts w:eastAsia="Calibri"/>
                <w:sz w:val="22"/>
                <w:szCs w:val="22"/>
              </w:rPr>
            </w:pPr>
            <w:r w:rsidRPr="00715555">
              <w:rPr>
                <w:rFonts w:eastAsia="Calibri"/>
                <w:sz w:val="22"/>
                <w:szCs w:val="22"/>
              </w:rPr>
              <w:t>Intra-V4 relations, foreign policy traditions</w:t>
            </w:r>
          </w:p>
        </w:tc>
        <w:tc>
          <w:tcPr>
            <w:tcW w:w="7274" w:type="dxa"/>
          </w:tcPr>
          <w:p w14:paraId="1760B2FB" w14:textId="0D71AA0E" w:rsidR="00715555" w:rsidRPr="00715555" w:rsidRDefault="00715555" w:rsidP="00715555">
            <w:pPr>
              <w:spacing w:before="240" w:line="360" w:lineRule="auto"/>
              <w:ind w:left="48"/>
              <w:jc w:val="both"/>
              <w:rPr>
                <w:rFonts w:eastAsia="Calibri"/>
                <w:sz w:val="22"/>
                <w:szCs w:val="22"/>
                <w:lang w:val="hu-HU"/>
              </w:rPr>
            </w:pPr>
            <w:proofErr w:type="spellStart"/>
            <w:r w:rsidRPr="00715555">
              <w:rPr>
                <w:rFonts w:eastAsia="Calibri"/>
                <w:sz w:val="22"/>
                <w:szCs w:val="22"/>
              </w:rPr>
              <w:t>Kořan</w:t>
            </w:r>
            <w:proofErr w:type="spellEnd"/>
            <w:r w:rsidRPr="00715555">
              <w:rPr>
                <w:rFonts w:eastAsia="Calibri"/>
                <w:sz w:val="22"/>
                <w:szCs w:val="22"/>
              </w:rPr>
              <w:t xml:space="preserve">, Michal (2010) ‘The </w:t>
            </w:r>
            <w:proofErr w:type="spellStart"/>
            <w:r w:rsidRPr="00715555">
              <w:rPr>
                <w:rFonts w:eastAsia="Calibri"/>
                <w:sz w:val="22"/>
                <w:szCs w:val="22"/>
              </w:rPr>
              <w:t>Visegrad</w:t>
            </w:r>
            <w:proofErr w:type="spellEnd"/>
            <w:r w:rsidRPr="00715555">
              <w:rPr>
                <w:rFonts w:eastAsia="Calibri"/>
                <w:sz w:val="22"/>
                <w:szCs w:val="22"/>
              </w:rPr>
              <w:t xml:space="preserve"> Cooperation, Poland, Slovakia and Austria in the Czech Foreign Policy’, in Michal </w:t>
            </w:r>
            <w:proofErr w:type="spellStart"/>
            <w:r w:rsidRPr="00715555">
              <w:rPr>
                <w:rFonts w:eastAsia="Calibri"/>
                <w:sz w:val="22"/>
                <w:szCs w:val="22"/>
              </w:rPr>
              <w:t>Kořan</w:t>
            </w:r>
            <w:proofErr w:type="spellEnd"/>
            <w:r w:rsidRPr="00715555">
              <w:rPr>
                <w:rFonts w:eastAsia="Calibri"/>
                <w:sz w:val="22"/>
                <w:szCs w:val="22"/>
              </w:rPr>
              <w:t xml:space="preserve">, ed., Czech Foreign Policy in 2007–2009: Analysis, 115–48, Prague: Institute of International Relations. </w:t>
            </w:r>
            <w:hyperlink r:id="rId13" w:history="1">
              <w:r w:rsidRPr="00715555">
                <w:rPr>
                  <w:rFonts w:eastAsia="Calibri"/>
                  <w:color w:val="0000FF"/>
                  <w:sz w:val="22"/>
                  <w:szCs w:val="22"/>
                  <w:u w:val="single"/>
                  <w:lang w:val="hu-HU"/>
                </w:rPr>
                <w:t>http://www.dokumenty-iir.cz/CZP/2017%20%282015%20EN%29/Kapitola%206%20V4%20a%20Rakousko.pdf</w:t>
              </w:r>
            </w:hyperlink>
            <w:r w:rsidRPr="00715555">
              <w:rPr>
                <w:rFonts w:eastAsia="Calibri"/>
                <w:sz w:val="22"/>
                <w:szCs w:val="22"/>
                <w:lang w:val="hu-HU"/>
              </w:rPr>
              <w:t xml:space="preserve"> </w:t>
            </w:r>
          </w:p>
        </w:tc>
      </w:tr>
      <w:tr w:rsidR="00715555" w:rsidRPr="00715555" w14:paraId="71772C0E" w14:textId="77777777" w:rsidTr="00715555">
        <w:tc>
          <w:tcPr>
            <w:tcW w:w="699" w:type="dxa"/>
          </w:tcPr>
          <w:p w14:paraId="0396F50F" w14:textId="77777777" w:rsidR="00715555" w:rsidRPr="00715555" w:rsidRDefault="00715555" w:rsidP="00715555">
            <w:pPr>
              <w:numPr>
                <w:ilvl w:val="0"/>
                <w:numId w:val="11"/>
              </w:numPr>
              <w:spacing w:before="240" w:after="160" w:line="360" w:lineRule="auto"/>
              <w:ind w:left="285"/>
              <w:contextualSpacing/>
              <w:jc w:val="both"/>
              <w:rPr>
                <w:rFonts w:eastAsia="Calibri"/>
                <w:sz w:val="22"/>
                <w:szCs w:val="22"/>
                <w:lang w:val="hu-HU"/>
              </w:rPr>
            </w:pPr>
          </w:p>
        </w:tc>
        <w:tc>
          <w:tcPr>
            <w:tcW w:w="2421" w:type="dxa"/>
          </w:tcPr>
          <w:p w14:paraId="5143E9E2" w14:textId="77777777" w:rsidR="00715555" w:rsidRPr="00715555" w:rsidRDefault="00715555" w:rsidP="00715555">
            <w:pPr>
              <w:spacing w:before="240" w:line="360" w:lineRule="auto"/>
              <w:jc w:val="both"/>
              <w:rPr>
                <w:rFonts w:eastAsia="Calibri"/>
                <w:sz w:val="22"/>
                <w:szCs w:val="22"/>
              </w:rPr>
            </w:pPr>
            <w:r w:rsidRPr="00715555">
              <w:rPr>
                <w:rFonts w:eastAsia="Calibri"/>
                <w:sz w:val="22"/>
                <w:szCs w:val="22"/>
              </w:rPr>
              <w:t>V4 in the EU; joint actions, shared interest</w:t>
            </w:r>
          </w:p>
        </w:tc>
        <w:tc>
          <w:tcPr>
            <w:tcW w:w="7274" w:type="dxa"/>
          </w:tcPr>
          <w:p w14:paraId="353C9D9C" w14:textId="45ACB391" w:rsidR="00715555" w:rsidRPr="00715555" w:rsidRDefault="00715555" w:rsidP="00715555">
            <w:pPr>
              <w:spacing w:before="240" w:line="360" w:lineRule="auto"/>
              <w:ind w:left="48"/>
              <w:jc w:val="both"/>
              <w:rPr>
                <w:rFonts w:eastAsia="Calibri"/>
                <w:sz w:val="22"/>
                <w:szCs w:val="22"/>
              </w:rPr>
            </w:pPr>
            <w:r w:rsidRPr="00715555">
              <w:rPr>
                <w:rFonts w:eastAsia="Calibri"/>
                <w:sz w:val="22"/>
                <w:szCs w:val="22"/>
              </w:rPr>
              <w:t xml:space="preserve">Béla </w:t>
            </w:r>
            <w:proofErr w:type="spellStart"/>
            <w:r w:rsidRPr="00715555">
              <w:rPr>
                <w:rFonts w:eastAsia="Calibri"/>
                <w:sz w:val="22"/>
                <w:szCs w:val="22"/>
              </w:rPr>
              <w:t>Greskovits</w:t>
            </w:r>
            <w:proofErr w:type="spellEnd"/>
            <w:r w:rsidRPr="00715555">
              <w:rPr>
                <w:rFonts w:eastAsia="Calibri"/>
                <w:sz w:val="22"/>
                <w:szCs w:val="22"/>
              </w:rPr>
              <w:t xml:space="preserve"> (2010): Central Europe in Kenneth Dyson, </w:t>
            </w:r>
            <w:proofErr w:type="spellStart"/>
            <w:r w:rsidRPr="00715555">
              <w:rPr>
                <w:rFonts w:eastAsia="Calibri"/>
                <w:sz w:val="22"/>
                <w:szCs w:val="22"/>
              </w:rPr>
              <w:t>Angelos</w:t>
            </w:r>
            <w:proofErr w:type="spellEnd"/>
            <w:r w:rsidRPr="00715555">
              <w:rPr>
                <w:rFonts w:eastAsia="Calibri"/>
                <w:sz w:val="22"/>
                <w:szCs w:val="22"/>
              </w:rPr>
              <w:t xml:space="preserve"> </w:t>
            </w:r>
            <w:proofErr w:type="spellStart"/>
            <w:r w:rsidRPr="00715555">
              <w:rPr>
                <w:rFonts w:eastAsia="Calibri"/>
                <w:sz w:val="22"/>
                <w:szCs w:val="22"/>
              </w:rPr>
              <w:t>Sepos</w:t>
            </w:r>
            <w:proofErr w:type="spellEnd"/>
            <w:r w:rsidRPr="00715555">
              <w:rPr>
                <w:rFonts w:eastAsia="Calibri"/>
                <w:sz w:val="22"/>
                <w:szCs w:val="22"/>
              </w:rPr>
              <w:t xml:space="preserve"> (2010): Which Europe? The Politics of Differentiated Integration, Palgrave Macmillan, London, 2010, ISBN 978-1-349-36358-2 ISBN 978-0-230-28952-9 (eBook) DOI 10.1057/9780230289529 pp.142-155</w:t>
            </w:r>
          </w:p>
        </w:tc>
      </w:tr>
      <w:tr w:rsidR="00715555" w:rsidRPr="00715555" w14:paraId="0C5B390C" w14:textId="77777777" w:rsidTr="00715555">
        <w:tc>
          <w:tcPr>
            <w:tcW w:w="699" w:type="dxa"/>
          </w:tcPr>
          <w:p w14:paraId="03E212BF" w14:textId="77777777" w:rsidR="00715555" w:rsidRPr="00715555" w:rsidRDefault="00715555" w:rsidP="00715555">
            <w:pPr>
              <w:numPr>
                <w:ilvl w:val="0"/>
                <w:numId w:val="11"/>
              </w:numPr>
              <w:spacing w:before="240" w:after="160" w:line="360" w:lineRule="auto"/>
              <w:ind w:left="285"/>
              <w:contextualSpacing/>
              <w:jc w:val="both"/>
              <w:rPr>
                <w:rFonts w:eastAsia="Calibri"/>
                <w:sz w:val="22"/>
                <w:szCs w:val="22"/>
              </w:rPr>
            </w:pPr>
          </w:p>
        </w:tc>
        <w:tc>
          <w:tcPr>
            <w:tcW w:w="2421" w:type="dxa"/>
          </w:tcPr>
          <w:p w14:paraId="12F5CE08" w14:textId="77777777" w:rsidR="00715555" w:rsidRPr="00715555" w:rsidRDefault="00715555" w:rsidP="00715555">
            <w:pPr>
              <w:spacing w:before="240" w:line="360" w:lineRule="auto"/>
              <w:jc w:val="both"/>
              <w:rPr>
                <w:rFonts w:eastAsia="Calibri"/>
                <w:sz w:val="22"/>
                <w:szCs w:val="22"/>
              </w:rPr>
            </w:pPr>
            <w:r w:rsidRPr="00715555">
              <w:rPr>
                <w:rFonts w:eastAsia="Calibri"/>
                <w:sz w:val="22"/>
                <w:szCs w:val="22"/>
              </w:rPr>
              <w:t>Polish EU policy; interests, attitudes and EU policy</w:t>
            </w:r>
          </w:p>
        </w:tc>
        <w:tc>
          <w:tcPr>
            <w:tcW w:w="7274" w:type="dxa"/>
          </w:tcPr>
          <w:p w14:paraId="7AEDB58F" w14:textId="77777777" w:rsidR="00715555" w:rsidRPr="00715555" w:rsidRDefault="00715555" w:rsidP="00715555">
            <w:pPr>
              <w:spacing w:before="240" w:line="360" w:lineRule="auto"/>
              <w:ind w:left="48"/>
              <w:jc w:val="both"/>
              <w:rPr>
                <w:rFonts w:eastAsia="Calibri"/>
                <w:sz w:val="22"/>
                <w:szCs w:val="22"/>
              </w:rPr>
            </w:pPr>
            <w:r w:rsidRPr="00715555">
              <w:rPr>
                <w:rFonts w:eastAsia="Calibri"/>
                <w:sz w:val="22"/>
                <w:szCs w:val="22"/>
                <w:lang w:val="hu-HU"/>
              </w:rPr>
              <w:t xml:space="preserve">Christian </w:t>
            </w:r>
            <w:proofErr w:type="spellStart"/>
            <w:r w:rsidRPr="00715555">
              <w:rPr>
                <w:rFonts w:eastAsia="Calibri"/>
                <w:sz w:val="22"/>
                <w:szCs w:val="22"/>
                <w:lang w:val="hu-HU"/>
              </w:rPr>
              <w:t>Schweiger</w:t>
            </w:r>
            <w:proofErr w:type="spellEnd"/>
            <w:r w:rsidRPr="00715555">
              <w:rPr>
                <w:rFonts w:eastAsia="Calibri"/>
                <w:sz w:val="22"/>
                <w:szCs w:val="22"/>
                <w:lang w:val="hu-HU"/>
              </w:rPr>
              <w:t xml:space="preserve"> (2014) </w:t>
            </w:r>
            <w:proofErr w:type="spellStart"/>
            <w:r w:rsidRPr="00715555">
              <w:rPr>
                <w:rFonts w:eastAsia="Calibri"/>
                <w:sz w:val="22"/>
                <w:szCs w:val="22"/>
                <w:lang w:val="hu-HU"/>
              </w:rPr>
              <w:t>Poland</w:t>
            </w:r>
            <w:proofErr w:type="spellEnd"/>
            <w:r w:rsidRPr="00715555">
              <w:rPr>
                <w:rFonts w:eastAsia="Calibri"/>
                <w:sz w:val="22"/>
                <w:szCs w:val="22"/>
                <w:lang w:val="hu-HU"/>
              </w:rPr>
              <w:t xml:space="preserve">, </w:t>
            </w:r>
            <w:proofErr w:type="spellStart"/>
            <w:r w:rsidRPr="00715555">
              <w:rPr>
                <w:rFonts w:eastAsia="Calibri"/>
                <w:sz w:val="22"/>
                <w:szCs w:val="22"/>
                <w:lang w:val="hu-HU"/>
              </w:rPr>
              <w:t>Variable</w:t>
            </w:r>
            <w:proofErr w:type="spellEnd"/>
            <w:r w:rsidRPr="00715555">
              <w:rPr>
                <w:rFonts w:eastAsia="Calibri"/>
                <w:sz w:val="22"/>
                <w:szCs w:val="22"/>
                <w:lang w:val="hu-HU"/>
              </w:rPr>
              <w:t xml:space="preserve"> </w:t>
            </w:r>
            <w:proofErr w:type="spellStart"/>
            <w:r w:rsidRPr="00715555">
              <w:rPr>
                <w:rFonts w:eastAsia="Calibri"/>
                <w:sz w:val="22"/>
                <w:szCs w:val="22"/>
                <w:lang w:val="hu-HU"/>
              </w:rPr>
              <w:t>Geometry</w:t>
            </w:r>
            <w:proofErr w:type="spellEnd"/>
            <w:r w:rsidRPr="00715555">
              <w:rPr>
                <w:rFonts w:eastAsia="Calibri"/>
                <w:sz w:val="22"/>
                <w:szCs w:val="22"/>
                <w:lang w:val="hu-HU"/>
              </w:rPr>
              <w:t xml:space="preserve"> and </w:t>
            </w:r>
            <w:proofErr w:type="spellStart"/>
            <w:r w:rsidRPr="00715555">
              <w:rPr>
                <w:rFonts w:eastAsia="Calibri"/>
                <w:sz w:val="22"/>
                <w:szCs w:val="22"/>
                <w:lang w:val="hu-HU"/>
              </w:rPr>
              <w:t>the</w:t>
            </w:r>
            <w:proofErr w:type="spellEnd"/>
            <w:r w:rsidRPr="00715555">
              <w:rPr>
                <w:rFonts w:eastAsia="Calibri"/>
                <w:sz w:val="22"/>
                <w:szCs w:val="22"/>
                <w:lang w:val="hu-HU"/>
              </w:rPr>
              <w:t xml:space="preserve"> </w:t>
            </w:r>
            <w:proofErr w:type="spellStart"/>
            <w:r w:rsidRPr="00715555">
              <w:rPr>
                <w:rFonts w:eastAsia="Calibri"/>
                <w:sz w:val="22"/>
                <w:szCs w:val="22"/>
                <w:lang w:val="hu-HU"/>
              </w:rPr>
              <w:t>Enlarged</w:t>
            </w:r>
            <w:proofErr w:type="spellEnd"/>
            <w:r w:rsidRPr="00715555">
              <w:rPr>
                <w:rFonts w:eastAsia="Calibri"/>
                <w:sz w:val="22"/>
                <w:szCs w:val="22"/>
                <w:lang w:val="hu-HU"/>
              </w:rPr>
              <w:t xml:space="preserve"> European Union, </w:t>
            </w:r>
            <w:proofErr w:type="spellStart"/>
            <w:r w:rsidRPr="00715555">
              <w:rPr>
                <w:rFonts w:eastAsia="Calibri"/>
                <w:sz w:val="22"/>
                <w:szCs w:val="22"/>
                <w:lang w:val="hu-HU"/>
              </w:rPr>
              <w:t>Europe-Asia</w:t>
            </w:r>
            <w:proofErr w:type="spellEnd"/>
            <w:r w:rsidRPr="00715555">
              <w:rPr>
                <w:rFonts w:eastAsia="Calibri"/>
                <w:sz w:val="22"/>
                <w:szCs w:val="22"/>
                <w:lang w:val="hu-HU"/>
              </w:rPr>
              <w:t xml:space="preserve"> </w:t>
            </w:r>
            <w:proofErr w:type="spellStart"/>
            <w:r w:rsidRPr="00715555">
              <w:rPr>
                <w:rFonts w:eastAsia="Calibri"/>
                <w:sz w:val="22"/>
                <w:szCs w:val="22"/>
                <w:lang w:val="hu-HU"/>
              </w:rPr>
              <w:t>Studies</w:t>
            </w:r>
            <w:proofErr w:type="spellEnd"/>
            <w:r w:rsidRPr="00715555">
              <w:rPr>
                <w:rFonts w:eastAsia="Calibri"/>
                <w:sz w:val="22"/>
                <w:szCs w:val="22"/>
                <w:lang w:val="hu-HU"/>
              </w:rPr>
              <w:t>, 66:3, 394-420, DOI: 10.1080/09668136.2013.869898</w:t>
            </w:r>
          </w:p>
        </w:tc>
      </w:tr>
      <w:tr w:rsidR="00715555" w:rsidRPr="00715555" w14:paraId="7559DB72" w14:textId="77777777" w:rsidTr="00715555">
        <w:tc>
          <w:tcPr>
            <w:tcW w:w="699" w:type="dxa"/>
          </w:tcPr>
          <w:p w14:paraId="22A82BD9" w14:textId="77777777" w:rsidR="00715555" w:rsidRPr="00715555" w:rsidRDefault="00715555" w:rsidP="00715555">
            <w:pPr>
              <w:numPr>
                <w:ilvl w:val="0"/>
                <w:numId w:val="11"/>
              </w:numPr>
              <w:spacing w:before="240" w:after="160" w:line="360" w:lineRule="auto"/>
              <w:ind w:left="285"/>
              <w:contextualSpacing/>
              <w:jc w:val="both"/>
              <w:rPr>
                <w:rFonts w:eastAsia="Calibri"/>
                <w:sz w:val="22"/>
                <w:szCs w:val="22"/>
              </w:rPr>
            </w:pPr>
          </w:p>
        </w:tc>
        <w:tc>
          <w:tcPr>
            <w:tcW w:w="2421" w:type="dxa"/>
          </w:tcPr>
          <w:p w14:paraId="28A6D6EF" w14:textId="77777777" w:rsidR="00715555" w:rsidRPr="00715555" w:rsidRDefault="00715555" w:rsidP="00715555">
            <w:pPr>
              <w:spacing w:before="240" w:line="360" w:lineRule="auto"/>
              <w:jc w:val="both"/>
              <w:rPr>
                <w:rFonts w:eastAsia="Calibri"/>
                <w:sz w:val="22"/>
                <w:szCs w:val="22"/>
              </w:rPr>
            </w:pPr>
            <w:r w:rsidRPr="00715555">
              <w:rPr>
                <w:rFonts w:eastAsia="Calibri"/>
                <w:sz w:val="22"/>
                <w:szCs w:val="22"/>
              </w:rPr>
              <w:t>Czech EU policy; interests, attitudes and EU policy</w:t>
            </w:r>
          </w:p>
        </w:tc>
        <w:tc>
          <w:tcPr>
            <w:tcW w:w="7274" w:type="dxa"/>
          </w:tcPr>
          <w:p w14:paraId="23906405" w14:textId="77777777" w:rsidR="00715555" w:rsidRPr="00715555" w:rsidRDefault="00715555" w:rsidP="00715555">
            <w:pPr>
              <w:spacing w:before="240" w:line="360" w:lineRule="auto"/>
              <w:ind w:left="48"/>
              <w:jc w:val="both"/>
              <w:rPr>
                <w:rFonts w:eastAsia="Calibri"/>
                <w:sz w:val="22"/>
                <w:szCs w:val="22"/>
              </w:rPr>
            </w:pPr>
            <w:r w:rsidRPr="00715555">
              <w:rPr>
                <w:rFonts w:eastAsia="Calibri"/>
                <w:sz w:val="22"/>
                <w:szCs w:val="22"/>
              </w:rPr>
              <w:t xml:space="preserve">Petr </w:t>
            </w:r>
            <w:proofErr w:type="spellStart"/>
            <w:r w:rsidRPr="00715555">
              <w:rPr>
                <w:rFonts w:eastAsia="Calibri"/>
                <w:sz w:val="22"/>
                <w:szCs w:val="22"/>
              </w:rPr>
              <w:t>Kaniok</w:t>
            </w:r>
            <w:proofErr w:type="spellEnd"/>
            <w:r w:rsidRPr="00715555">
              <w:rPr>
                <w:rFonts w:eastAsia="Calibri"/>
                <w:sz w:val="22"/>
                <w:szCs w:val="22"/>
              </w:rPr>
              <w:t xml:space="preserve"> &amp; Robert </w:t>
            </w:r>
            <w:proofErr w:type="spellStart"/>
            <w:r w:rsidRPr="00715555">
              <w:rPr>
                <w:rFonts w:eastAsia="Calibri"/>
                <w:sz w:val="22"/>
                <w:szCs w:val="22"/>
              </w:rPr>
              <w:t>Majer</w:t>
            </w:r>
            <w:proofErr w:type="spellEnd"/>
            <w:r w:rsidRPr="00715555">
              <w:rPr>
                <w:rFonts w:eastAsia="Calibri"/>
                <w:sz w:val="22"/>
                <w:szCs w:val="22"/>
              </w:rPr>
              <w:t xml:space="preserve"> (2016) Small Countries in the EU: The </w:t>
            </w:r>
            <w:proofErr w:type="spellStart"/>
            <w:r w:rsidRPr="00715555">
              <w:rPr>
                <w:rFonts w:eastAsia="Calibri"/>
                <w:sz w:val="22"/>
                <w:szCs w:val="22"/>
              </w:rPr>
              <w:t>CzechRepublic</w:t>
            </w:r>
            <w:proofErr w:type="spellEnd"/>
            <w:r w:rsidRPr="00715555">
              <w:rPr>
                <w:rFonts w:eastAsia="Calibri"/>
                <w:sz w:val="22"/>
                <w:szCs w:val="22"/>
              </w:rPr>
              <w:t xml:space="preserve"> Case, Journal of Contemporary Central and Eastern Europe, 24:1, 17-35</w:t>
            </w:r>
          </w:p>
        </w:tc>
      </w:tr>
      <w:tr w:rsidR="00715555" w:rsidRPr="00715555" w14:paraId="09F7E815" w14:textId="77777777" w:rsidTr="00715555">
        <w:tc>
          <w:tcPr>
            <w:tcW w:w="699" w:type="dxa"/>
          </w:tcPr>
          <w:p w14:paraId="13449722" w14:textId="77777777" w:rsidR="00715555" w:rsidRPr="00715555" w:rsidRDefault="00715555" w:rsidP="00715555">
            <w:pPr>
              <w:numPr>
                <w:ilvl w:val="0"/>
                <w:numId w:val="11"/>
              </w:numPr>
              <w:spacing w:before="240" w:after="160" w:line="360" w:lineRule="auto"/>
              <w:ind w:left="285"/>
              <w:contextualSpacing/>
              <w:jc w:val="both"/>
              <w:rPr>
                <w:rFonts w:eastAsia="Calibri"/>
                <w:sz w:val="22"/>
                <w:szCs w:val="22"/>
              </w:rPr>
            </w:pPr>
          </w:p>
        </w:tc>
        <w:tc>
          <w:tcPr>
            <w:tcW w:w="2421" w:type="dxa"/>
          </w:tcPr>
          <w:p w14:paraId="4966AA6C" w14:textId="77777777" w:rsidR="00715555" w:rsidRPr="00715555" w:rsidRDefault="00715555" w:rsidP="00715555">
            <w:pPr>
              <w:spacing w:before="240" w:line="360" w:lineRule="auto"/>
              <w:jc w:val="both"/>
              <w:rPr>
                <w:rFonts w:eastAsia="Calibri"/>
                <w:sz w:val="22"/>
                <w:szCs w:val="22"/>
              </w:rPr>
            </w:pPr>
            <w:r w:rsidRPr="00715555">
              <w:rPr>
                <w:rFonts w:eastAsia="Calibri"/>
                <w:sz w:val="22"/>
                <w:szCs w:val="22"/>
              </w:rPr>
              <w:t>Slovakian EU policy; interests, attitudes and EU policy</w:t>
            </w:r>
          </w:p>
        </w:tc>
        <w:tc>
          <w:tcPr>
            <w:tcW w:w="7274" w:type="dxa"/>
          </w:tcPr>
          <w:p w14:paraId="02A4DE7C" w14:textId="77777777" w:rsidR="00715555" w:rsidRPr="00715555" w:rsidRDefault="00715555" w:rsidP="00715555">
            <w:pPr>
              <w:spacing w:before="240" w:line="360" w:lineRule="auto"/>
              <w:ind w:left="48"/>
              <w:jc w:val="both"/>
              <w:rPr>
                <w:rFonts w:eastAsia="Calibri"/>
                <w:sz w:val="22"/>
                <w:szCs w:val="22"/>
              </w:rPr>
            </w:pPr>
            <w:proofErr w:type="spellStart"/>
            <w:r w:rsidRPr="00715555">
              <w:rPr>
                <w:rFonts w:eastAsia="Calibri"/>
                <w:sz w:val="22"/>
                <w:szCs w:val="22"/>
                <w:lang w:val="hu-HU"/>
              </w:rPr>
              <w:t>Darina</w:t>
            </w:r>
            <w:proofErr w:type="spellEnd"/>
            <w:r w:rsidRPr="00715555">
              <w:rPr>
                <w:rFonts w:eastAsia="Calibri"/>
                <w:sz w:val="22"/>
                <w:szCs w:val="22"/>
                <w:lang w:val="hu-HU"/>
              </w:rPr>
              <w:t xml:space="preserve"> </w:t>
            </w:r>
            <w:proofErr w:type="spellStart"/>
            <w:r w:rsidRPr="00715555">
              <w:rPr>
                <w:rFonts w:eastAsia="Calibri"/>
                <w:sz w:val="22"/>
                <w:szCs w:val="22"/>
                <w:lang w:val="hu-HU"/>
              </w:rPr>
              <w:t>Malová</w:t>
            </w:r>
            <w:proofErr w:type="spellEnd"/>
            <w:r w:rsidRPr="00715555">
              <w:rPr>
                <w:rFonts w:eastAsia="Calibri"/>
                <w:sz w:val="22"/>
                <w:szCs w:val="22"/>
                <w:lang w:val="hu-HU"/>
              </w:rPr>
              <w:t xml:space="preserve"> &amp; </w:t>
            </w:r>
            <w:proofErr w:type="spellStart"/>
            <w:r w:rsidRPr="00715555">
              <w:rPr>
                <w:rFonts w:eastAsia="Calibri"/>
                <w:sz w:val="22"/>
                <w:szCs w:val="22"/>
                <w:lang w:val="hu-HU"/>
              </w:rPr>
              <w:t>Branislav</w:t>
            </w:r>
            <w:proofErr w:type="spellEnd"/>
            <w:r w:rsidRPr="00715555">
              <w:rPr>
                <w:rFonts w:eastAsia="Calibri"/>
                <w:sz w:val="22"/>
                <w:szCs w:val="22"/>
                <w:lang w:val="hu-HU"/>
              </w:rPr>
              <w:t xml:space="preserve"> </w:t>
            </w:r>
            <w:proofErr w:type="spellStart"/>
            <w:r w:rsidRPr="00715555">
              <w:rPr>
                <w:rFonts w:eastAsia="Calibri"/>
                <w:sz w:val="22"/>
                <w:szCs w:val="22"/>
                <w:lang w:val="hu-HU"/>
              </w:rPr>
              <w:t>Dolný</w:t>
            </w:r>
            <w:proofErr w:type="spellEnd"/>
            <w:r w:rsidRPr="00715555">
              <w:rPr>
                <w:rFonts w:eastAsia="Calibri"/>
                <w:sz w:val="22"/>
                <w:szCs w:val="22"/>
                <w:lang w:val="hu-HU"/>
              </w:rPr>
              <w:t xml:space="preserve"> (2016): </w:t>
            </w:r>
            <w:proofErr w:type="spellStart"/>
            <w:r w:rsidRPr="00715555">
              <w:rPr>
                <w:rFonts w:eastAsia="Calibri"/>
                <w:sz w:val="22"/>
                <w:szCs w:val="22"/>
                <w:lang w:val="hu-HU"/>
              </w:rPr>
              <w:t>Economy</w:t>
            </w:r>
            <w:proofErr w:type="spellEnd"/>
            <w:r w:rsidRPr="00715555">
              <w:rPr>
                <w:rFonts w:eastAsia="Calibri"/>
                <w:sz w:val="22"/>
                <w:szCs w:val="22"/>
                <w:lang w:val="hu-HU"/>
              </w:rPr>
              <w:t xml:space="preserve"> and </w:t>
            </w:r>
            <w:proofErr w:type="spellStart"/>
            <w:r w:rsidRPr="00715555">
              <w:rPr>
                <w:rFonts w:eastAsia="Calibri"/>
                <w:sz w:val="22"/>
                <w:szCs w:val="22"/>
                <w:lang w:val="hu-HU"/>
              </w:rPr>
              <w:t>Democracy</w:t>
            </w:r>
            <w:proofErr w:type="spellEnd"/>
            <w:r w:rsidRPr="00715555">
              <w:rPr>
                <w:rFonts w:eastAsia="Calibri"/>
                <w:sz w:val="22"/>
                <w:szCs w:val="22"/>
                <w:lang w:val="hu-HU"/>
              </w:rPr>
              <w:t xml:space="preserve"> </w:t>
            </w:r>
            <w:proofErr w:type="spellStart"/>
            <w:r w:rsidRPr="00715555">
              <w:rPr>
                <w:rFonts w:eastAsia="Calibri"/>
                <w:sz w:val="22"/>
                <w:szCs w:val="22"/>
                <w:lang w:val="hu-HU"/>
              </w:rPr>
              <w:t>in</w:t>
            </w:r>
            <w:proofErr w:type="spellEnd"/>
            <w:r w:rsidRPr="00715555">
              <w:rPr>
                <w:rFonts w:eastAsia="Calibri"/>
                <w:sz w:val="22"/>
                <w:szCs w:val="22"/>
                <w:lang w:val="hu-HU"/>
              </w:rPr>
              <w:t xml:space="preserve"> </w:t>
            </w:r>
            <w:proofErr w:type="spellStart"/>
            <w:r w:rsidRPr="00715555">
              <w:rPr>
                <w:rFonts w:eastAsia="Calibri"/>
                <w:sz w:val="22"/>
                <w:szCs w:val="22"/>
                <w:lang w:val="hu-HU"/>
              </w:rPr>
              <w:t>Slovakia</w:t>
            </w:r>
            <w:proofErr w:type="spellEnd"/>
            <w:r w:rsidRPr="00715555">
              <w:rPr>
                <w:rFonts w:eastAsia="Calibri"/>
                <w:sz w:val="22"/>
                <w:szCs w:val="22"/>
                <w:lang w:val="hu-HU"/>
              </w:rPr>
              <w:t xml:space="preserve"> </w:t>
            </w:r>
            <w:proofErr w:type="spellStart"/>
            <w:r w:rsidRPr="00715555">
              <w:rPr>
                <w:rFonts w:eastAsia="Calibri"/>
                <w:sz w:val="22"/>
                <w:szCs w:val="22"/>
                <w:lang w:val="hu-HU"/>
              </w:rPr>
              <w:t>during</w:t>
            </w:r>
            <w:proofErr w:type="spellEnd"/>
            <w:r w:rsidRPr="00715555">
              <w:rPr>
                <w:rFonts w:eastAsia="Calibri"/>
                <w:sz w:val="22"/>
                <w:szCs w:val="22"/>
                <w:lang w:val="hu-HU"/>
              </w:rPr>
              <w:t xml:space="preserve"> </w:t>
            </w:r>
            <w:proofErr w:type="spellStart"/>
            <w:r w:rsidRPr="00715555">
              <w:rPr>
                <w:rFonts w:eastAsia="Calibri"/>
                <w:sz w:val="22"/>
                <w:szCs w:val="22"/>
                <w:lang w:val="hu-HU"/>
              </w:rPr>
              <w:t>the</w:t>
            </w:r>
            <w:proofErr w:type="spellEnd"/>
            <w:r w:rsidRPr="00715555">
              <w:rPr>
                <w:rFonts w:eastAsia="Calibri"/>
                <w:sz w:val="22"/>
                <w:szCs w:val="22"/>
                <w:lang w:val="hu-HU"/>
              </w:rPr>
              <w:t xml:space="preserve"> </w:t>
            </w:r>
            <w:proofErr w:type="spellStart"/>
            <w:r w:rsidRPr="00715555">
              <w:rPr>
                <w:rFonts w:eastAsia="Calibri"/>
                <w:sz w:val="22"/>
                <w:szCs w:val="22"/>
                <w:lang w:val="hu-HU"/>
              </w:rPr>
              <w:t>Crisis</w:t>
            </w:r>
            <w:proofErr w:type="spellEnd"/>
            <w:r w:rsidRPr="00715555">
              <w:rPr>
                <w:rFonts w:eastAsia="Calibri"/>
                <w:sz w:val="22"/>
                <w:szCs w:val="22"/>
                <w:lang w:val="hu-HU"/>
              </w:rPr>
              <w:t xml:space="preserve">: </w:t>
            </w:r>
            <w:proofErr w:type="spellStart"/>
            <w:r w:rsidRPr="00715555">
              <w:rPr>
                <w:rFonts w:eastAsia="Calibri"/>
                <w:sz w:val="22"/>
                <w:szCs w:val="22"/>
                <w:lang w:val="hu-HU"/>
              </w:rPr>
              <w:t>From</w:t>
            </w:r>
            <w:proofErr w:type="spellEnd"/>
            <w:r w:rsidRPr="00715555">
              <w:rPr>
                <w:rFonts w:eastAsia="Calibri"/>
                <w:sz w:val="22"/>
                <w:szCs w:val="22"/>
                <w:lang w:val="hu-HU"/>
              </w:rPr>
              <w:t xml:space="preserve"> a </w:t>
            </w:r>
            <w:proofErr w:type="spellStart"/>
            <w:r w:rsidRPr="00715555">
              <w:rPr>
                <w:rFonts w:eastAsia="Calibri"/>
                <w:sz w:val="22"/>
                <w:szCs w:val="22"/>
                <w:lang w:val="hu-HU"/>
              </w:rPr>
              <w:t>Laggard</w:t>
            </w:r>
            <w:proofErr w:type="spellEnd"/>
            <w:r w:rsidRPr="00715555">
              <w:rPr>
                <w:rFonts w:eastAsia="Calibri"/>
                <w:sz w:val="22"/>
                <w:szCs w:val="22"/>
                <w:lang w:val="hu-HU"/>
              </w:rPr>
              <w:t xml:space="preserve"> </w:t>
            </w:r>
            <w:proofErr w:type="spellStart"/>
            <w:r w:rsidRPr="00715555">
              <w:rPr>
                <w:rFonts w:eastAsia="Calibri"/>
                <w:sz w:val="22"/>
                <w:szCs w:val="22"/>
                <w:lang w:val="hu-HU"/>
              </w:rPr>
              <w:t>to</w:t>
            </w:r>
            <w:proofErr w:type="spellEnd"/>
            <w:r w:rsidRPr="00715555">
              <w:rPr>
                <w:rFonts w:eastAsia="Calibri"/>
                <w:sz w:val="22"/>
                <w:szCs w:val="22"/>
                <w:lang w:val="hu-HU"/>
              </w:rPr>
              <w:t xml:space="preserve"> </w:t>
            </w:r>
            <w:proofErr w:type="spellStart"/>
            <w:r w:rsidRPr="00715555">
              <w:rPr>
                <w:rFonts w:eastAsia="Calibri"/>
                <w:sz w:val="22"/>
                <w:szCs w:val="22"/>
                <w:lang w:val="hu-HU"/>
              </w:rPr>
              <w:t>the</w:t>
            </w:r>
            <w:proofErr w:type="spellEnd"/>
            <w:r w:rsidRPr="00715555">
              <w:rPr>
                <w:rFonts w:eastAsia="Calibri"/>
                <w:sz w:val="22"/>
                <w:szCs w:val="22"/>
                <w:lang w:val="hu-HU"/>
              </w:rPr>
              <w:t xml:space="preserve"> EU </w:t>
            </w:r>
            <w:proofErr w:type="spellStart"/>
            <w:r w:rsidRPr="00715555">
              <w:rPr>
                <w:rFonts w:eastAsia="Calibri"/>
                <w:sz w:val="22"/>
                <w:szCs w:val="22"/>
                <w:lang w:val="hu-HU"/>
              </w:rPr>
              <w:t>Core</w:t>
            </w:r>
            <w:proofErr w:type="spellEnd"/>
            <w:r w:rsidRPr="00715555">
              <w:rPr>
                <w:rFonts w:eastAsia="Calibri"/>
                <w:sz w:val="22"/>
                <w:szCs w:val="22"/>
                <w:lang w:val="hu-HU"/>
              </w:rPr>
              <w:t xml:space="preserve">, </w:t>
            </w:r>
            <w:proofErr w:type="spellStart"/>
            <w:r w:rsidRPr="00715555">
              <w:rPr>
                <w:rFonts w:eastAsia="Calibri"/>
                <w:sz w:val="22"/>
                <w:szCs w:val="22"/>
                <w:lang w:val="hu-HU"/>
              </w:rPr>
              <w:t>Problems</w:t>
            </w:r>
            <w:proofErr w:type="spellEnd"/>
            <w:r w:rsidRPr="00715555">
              <w:rPr>
                <w:rFonts w:eastAsia="Calibri"/>
                <w:sz w:val="22"/>
                <w:szCs w:val="22"/>
                <w:lang w:val="hu-HU"/>
              </w:rPr>
              <w:t xml:space="preserve"> of </w:t>
            </w:r>
            <w:proofErr w:type="spellStart"/>
            <w:r w:rsidRPr="00715555">
              <w:rPr>
                <w:rFonts w:eastAsia="Calibri"/>
                <w:sz w:val="22"/>
                <w:szCs w:val="22"/>
                <w:lang w:val="hu-HU"/>
              </w:rPr>
              <w:t>Post-Communism</w:t>
            </w:r>
            <w:proofErr w:type="spellEnd"/>
            <w:r w:rsidRPr="00715555">
              <w:rPr>
                <w:rFonts w:eastAsia="Calibri"/>
                <w:sz w:val="22"/>
                <w:szCs w:val="22"/>
                <w:lang w:val="hu-HU"/>
              </w:rPr>
              <w:t>, DOI: 10.1080/10758216.2016.1200952</w:t>
            </w:r>
          </w:p>
        </w:tc>
      </w:tr>
      <w:tr w:rsidR="00715555" w:rsidRPr="00715555" w14:paraId="1152B5A7" w14:textId="77777777" w:rsidTr="00715555">
        <w:tc>
          <w:tcPr>
            <w:tcW w:w="699" w:type="dxa"/>
          </w:tcPr>
          <w:p w14:paraId="068F277B" w14:textId="77777777" w:rsidR="00715555" w:rsidRPr="00715555" w:rsidRDefault="00715555" w:rsidP="00715555">
            <w:pPr>
              <w:numPr>
                <w:ilvl w:val="0"/>
                <w:numId w:val="11"/>
              </w:numPr>
              <w:spacing w:before="240" w:after="160" w:line="360" w:lineRule="auto"/>
              <w:ind w:left="285"/>
              <w:contextualSpacing/>
              <w:jc w:val="both"/>
              <w:rPr>
                <w:rFonts w:eastAsia="Calibri"/>
                <w:sz w:val="22"/>
                <w:szCs w:val="22"/>
              </w:rPr>
            </w:pPr>
          </w:p>
        </w:tc>
        <w:tc>
          <w:tcPr>
            <w:tcW w:w="2421" w:type="dxa"/>
          </w:tcPr>
          <w:p w14:paraId="3CEA467B" w14:textId="77777777" w:rsidR="00715555" w:rsidRPr="00715555" w:rsidRDefault="00715555" w:rsidP="00715555">
            <w:pPr>
              <w:spacing w:before="240" w:line="360" w:lineRule="auto"/>
              <w:jc w:val="both"/>
              <w:rPr>
                <w:rFonts w:eastAsia="Calibri"/>
                <w:sz w:val="22"/>
                <w:szCs w:val="22"/>
              </w:rPr>
            </w:pPr>
            <w:r w:rsidRPr="00715555">
              <w:rPr>
                <w:rFonts w:eastAsia="Calibri"/>
                <w:sz w:val="22"/>
                <w:szCs w:val="22"/>
              </w:rPr>
              <w:t>Hungarian EU policy; interests, attitudes and EU policy</w:t>
            </w:r>
          </w:p>
        </w:tc>
        <w:tc>
          <w:tcPr>
            <w:tcW w:w="7274" w:type="dxa"/>
          </w:tcPr>
          <w:p w14:paraId="029EBF19" w14:textId="77777777" w:rsidR="00715555" w:rsidRPr="00715555" w:rsidRDefault="00715555" w:rsidP="00715555">
            <w:pPr>
              <w:spacing w:before="240" w:line="360" w:lineRule="auto"/>
              <w:ind w:left="48"/>
              <w:jc w:val="both"/>
              <w:rPr>
                <w:rFonts w:eastAsia="Calibri"/>
                <w:sz w:val="22"/>
                <w:szCs w:val="22"/>
                <w:lang w:val="hu-HU"/>
              </w:rPr>
            </w:pPr>
            <w:r w:rsidRPr="00715555">
              <w:rPr>
                <w:rFonts w:eastAsia="Calibri"/>
                <w:sz w:val="22"/>
                <w:szCs w:val="22"/>
                <w:lang w:val="hu-HU"/>
              </w:rPr>
              <w:t xml:space="preserve">Beáta Huszka (2017) </w:t>
            </w:r>
            <w:proofErr w:type="spellStart"/>
            <w:r w:rsidRPr="00715555">
              <w:rPr>
                <w:rFonts w:eastAsia="Calibri"/>
                <w:sz w:val="22"/>
                <w:szCs w:val="22"/>
                <w:lang w:val="hu-HU"/>
              </w:rPr>
              <w:t>Eurosceptic</w:t>
            </w:r>
            <w:proofErr w:type="spellEnd"/>
            <w:r w:rsidRPr="00715555">
              <w:rPr>
                <w:rFonts w:eastAsia="Calibri"/>
                <w:sz w:val="22"/>
                <w:szCs w:val="22"/>
                <w:lang w:val="hu-HU"/>
              </w:rPr>
              <w:t xml:space="preserve"> </w:t>
            </w:r>
            <w:proofErr w:type="spellStart"/>
            <w:r w:rsidRPr="00715555">
              <w:rPr>
                <w:rFonts w:eastAsia="Calibri"/>
                <w:sz w:val="22"/>
                <w:szCs w:val="22"/>
                <w:lang w:val="hu-HU"/>
              </w:rPr>
              <w:t>yet</w:t>
            </w:r>
            <w:proofErr w:type="spellEnd"/>
            <w:r w:rsidRPr="00715555">
              <w:rPr>
                <w:rFonts w:eastAsia="Calibri"/>
                <w:sz w:val="22"/>
                <w:szCs w:val="22"/>
                <w:lang w:val="hu-HU"/>
              </w:rPr>
              <w:t xml:space="preserve"> </w:t>
            </w:r>
            <w:proofErr w:type="spellStart"/>
            <w:r w:rsidRPr="00715555">
              <w:rPr>
                <w:rFonts w:eastAsia="Calibri"/>
                <w:sz w:val="22"/>
                <w:szCs w:val="22"/>
                <w:lang w:val="hu-HU"/>
              </w:rPr>
              <w:t>pro-enlargement</w:t>
            </w:r>
            <w:proofErr w:type="spellEnd"/>
            <w:r w:rsidRPr="00715555">
              <w:rPr>
                <w:rFonts w:eastAsia="Calibri"/>
                <w:sz w:val="22"/>
                <w:szCs w:val="22"/>
                <w:lang w:val="hu-HU"/>
              </w:rPr>
              <w:t xml:space="preserve">: </w:t>
            </w:r>
            <w:proofErr w:type="spellStart"/>
            <w:r w:rsidRPr="00715555">
              <w:rPr>
                <w:rFonts w:eastAsia="Calibri"/>
                <w:sz w:val="22"/>
                <w:szCs w:val="22"/>
                <w:lang w:val="hu-HU"/>
              </w:rPr>
              <w:t>the</w:t>
            </w:r>
            <w:proofErr w:type="spellEnd"/>
            <w:r w:rsidRPr="00715555">
              <w:rPr>
                <w:rFonts w:eastAsia="Calibri"/>
                <w:sz w:val="22"/>
                <w:szCs w:val="22"/>
                <w:lang w:val="hu-HU"/>
              </w:rPr>
              <w:t xml:space="preserve"> </w:t>
            </w:r>
            <w:proofErr w:type="spellStart"/>
            <w:r w:rsidRPr="00715555">
              <w:rPr>
                <w:rFonts w:eastAsia="Calibri"/>
                <w:sz w:val="22"/>
                <w:szCs w:val="22"/>
                <w:lang w:val="hu-HU"/>
              </w:rPr>
              <w:t>paradoxes</w:t>
            </w:r>
            <w:proofErr w:type="spellEnd"/>
            <w:r w:rsidRPr="00715555">
              <w:rPr>
                <w:rFonts w:eastAsia="Calibri"/>
                <w:sz w:val="22"/>
                <w:szCs w:val="22"/>
                <w:lang w:val="hu-HU"/>
              </w:rPr>
              <w:t xml:space="preserve"> of </w:t>
            </w:r>
            <w:proofErr w:type="spellStart"/>
            <w:r w:rsidRPr="00715555">
              <w:rPr>
                <w:rFonts w:eastAsia="Calibri"/>
                <w:sz w:val="22"/>
                <w:szCs w:val="22"/>
                <w:lang w:val="hu-HU"/>
              </w:rPr>
              <w:t>Hungary’s</w:t>
            </w:r>
            <w:proofErr w:type="spellEnd"/>
            <w:r w:rsidRPr="00715555">
              <w:rPr>
                <w:rFonts w:eastAsia="Calibri"/>
                <w:sz w:val="22"/>
                <w:szCs w:val="22"/>
                <w:lang w:val="hu-HU"/>
              </w:rPr>
              <w:t xml:space="preserve"> EU policy, Southeast European and Black </w:t>
            </w:r>
            <w:proofErr w:type="spellStart"/>
            <w:r w:rsidRPr="00715555">
              <w:rPr>
                <w:rFonts w:eastAsia="Calibri"/>
                <w:sz w:val="22"/>
                <w:szCs w:val="22"/>
                <w:lang w:val="hu-HU"/>
              </w:rPr>
              <w:t>Sea</w:t>
            </w:r>
            <w:proofErr w:type="spellEnd"/>
            <w:r w:rsidRPr="00715555">
              <w:rPr>
                <w:rFonts w:eastAsia="Calibri"/>
                <w:sz w:val="22"/>
                <w:szCs w:val="22"/>
                <w:lang w:val="hu-HU"/>
              </w:rPr>
              <w:t xml:space="preserve"> </w:t>
            </w:r>
            <w:proofErr w:type="spellStart"/>
            <w:r w:rsidRPr="00715555">
              <w:rPr>
                <w:rFonts w:eastAsia="Calibri"/>
                <w:sz w:val="22"/>
                <w:szCs w:val="22"/>
                <w:lang w:val="hu-HU"/>
              </w:rPr>
              <w:t>Studies</w:t>
            </w:r>
            <w:proofErr w:type="spellEnd"/>
            <w:r w:rsidRPr="00715555">
              <w:rPr>
                <w:rFonts w:eastAsia="Calibri"/>
                <w:sz w:val="22"/>
                <w:szCs w:val="22"/>
                <w:lang w:val="hu-HU"/>
              </w:rPr>
              <w:t>, 17:4, 591-609, DOI: 10.1080/14683857.2017.1367462</w:t>
            </w:r>
          </w:p>
          <w:p w14:paraId="21E2B551" w14:textId="70B05A4D" w:rsidR="00715555" w:rsidRPr="00715555" w:rsidRDefault="00715555" w:rsidP="00715555">
            <w:pPr>
              <w:spacing w:before="240" w:line="360" w:lineRule="auto"/>
              <w:ind w:left="48"/>
              <w:jc w:val="both"/>
              <w:rPr>
                <w:rFonts w:eastAsia="Calibri"/>
                <w:sz w:val="22"/>
                <w:szCs w:val="22"/>
              </w:rPr>
            </w:pPr>
            <w:r w:rsidRPr="00715555">
              <w:rPr>
                <w:rFonts w:eastAsia="Calibri"/>
                <w:sz w:val="22"/>
                <w:szCs w:val="22"/>
                <w:lang w:val="hu-HU"/>
              </w:rPr>
              <w:t xml:space="preserve">Brigid </w:t>
            </w:r>
            <w:proofErr w:type="spellStart"/>
            <w:r w:rsidRPr="00715555">
              <w:rPr>
                <w:rFonts w:eastAsia="Calibri"/>
                <w:sz w:val="22"/>
                <w:szCs w:val="22"/>
                <w:lang w:val="hu-HU"/>
              </w:rPr>
              <w:t>Fowler</w:t>
            </w:r>
            <w:proofErr w:type="spellEnd"/>
            <w:r w:rsidRPr="00715555">
              <w:rPr>
                <w:rFonts w:eastAsia="Calibri"/>
                <w:sz w:val="22"/>
                <w:szCs w:val="22"/>
                <w:lang w:val="hu-HU"/>
              </w:rPr>
              <w:t xml:space="preserve"> (2004) Hungary: </w:t>
            </w:r>
            <w:proofErr w:type="spellStart"/>
            <w:r w:rsidRPr="00715555">
              <w:rPr>
                <w:rFonts w:eastAsia="Calibri"/>
                <w:sz w:val="22"/>
                <w:szCs w:val="22"/>
                <w:lang w:val="hu-HU"/>
              </w:rPr>
              <w:t>Unpicking</w:t>
            </w:r>
            <w:proofErr w:type="spellEnd"/>
            <w:r w:rsidRPr="00715555">
              <w:rPr>
                <w:rFonts w:eastAsia="Calibri"/>
                <w:sz w:val="22"/>
                <w:szCs w:val="22"/>
                <w:lang w:val="hu-HU"/>
              </w:rPr>
              <w:t xml:space="preserve"> </w:t>
            </w:r>
            <w:proofErr w:type="spellStart"/>
            <w:r w:rsidRPr="00715555">
              <w:rPr>
                <w:rFonts w:eastAsia="Calibri"/>
                <w:sz w:val="22"/>
                <w:szCs w:val="22"/>
                <w:lang w:val="hu-HU"/>
              </w:rPr>
              <w:t>the</w:t>
            </w:r>
            <w:proofErr w:type="spellEnd"/>
            <w:r w:rsidRPr="00715555">
              <w:rPr>
                <w:rFonts w:eastAsia="Calibri"/>
                <w:sz w:val="22"/>
                <w:szCs w:val="22"/>
                <w:lang w:val="hu-HU"/>
              </w:rPr>
              <w:t xml:space="preserve"> </w:t>
            </w:r>
            <w:proofErr w:type="spellStart"/>
            <w:r w:rsidRPr="00715555">
              <w:rPr>
                <w:rFonts w:eastAsia="Calibri"/>
                <w:sz w:val="22"/>
                <w:szCs w:val="22"/>
                <w:lang w:val="hu-HU"/>
              </w:rPr>
              <w:t>Permissive</w:t>
            </w:r>
            <w:proofErr w:type="spellEnd"/>
            <w:r w:rsidRPr="00715555">
              <w:rPr>
                <w:rFonts w:eastAsia="Calibri"/>
                <w:sz w:val="22"/>
                <w:szCs w:val="22"/>
                <w:lang w:val="hu-HU"/>
              </w:rPr>
              <w:t xml:space="preserve"> </w:t>
            </w:r>
            <w:proofErr w:type="spellStart"/>
            <w:proofErr w:type="gramStart"/>
            <w:r w:rsidRPr="00715555">
              <w:rPr>
                <w:rFonts w:eastAsia="Calibri"/>
                <w:sz w:val="22"/>
                <w:szCs w:val="22"/>
                <w:lang w:val="hu-HU"/>
              </w:rPr>
              <w:t>Consensus</w:t>
            </w:r>
            <w:proofErr w:type="spellEnd"/>
            <w:r w:rsidRPr="00715555">
              <w:rPr>
                <w:rFonts w:eastAsia="Calibri"/>
                <w:sz w:val="22"/>
                <w:szCs w:val="22"/>
                <w:lang w:val="hu-HU"/>
              </w:rPr>
              <w:t xml:space="preserve"> ,</w:t>
            </w:r>
            <w:proofErr w:type="gramEnd"/>
            <w:r w:rsidRPr="00715555">
              <w:rPr>
                <w:rFonts w:eastAsia="Calibri"/>
                <w:sz w:val="22"/>
                <w:szCs w:val="22"/>
                <w:lang w:val="hu-HU"/>
              </w:rPr>
              <w:t xml:space="preserve"> West European </w:t>
            </w:r>
            <w:proofErr w:type="spellStart"/>
            <w:r w:rsidRPr="00715555">
              <w:rPr>
                <w:rFonts w:eastAsia="Calibri"/>
                <w:sz w:val="22"/>
                <w:szCs w:val="22"/>
                <w:lang w:val="hu-HU"/>
              </w:rPr>
              <w:t>Politics</w:t>
            </w:r>
            <w:proofErr w:type="spellEnd"/>
            <w:r w:rsidRPr="00715555">
              <w:rPr>
                <w:rFonts w:eastAsia="Calibri"/>
                <w:sz w:val="22"/>
                <w:szCs w:val="22"/>
                <w:lang w:val="hu-HU"/>
              </w:rPr>
              <w:t>, 27:4, 624-651, DOI: 10.1080/0140238042000249894</w:t>
            </w:r>
          </w:p>
        </w:tc>
      </w:tr>
      <w:tr w:rsidR="00715555" w:rsidRPr="00715555" w14:paraId="56808B1F" w14:textId="77777777" w:rsidTr="00715555">
        <w:tc>
          <w:tcPr>
            <w:tcW w:w="699" w:type="dxa"/>
          </w:tcPr>
          <w:p w14:paraId="2D0F7740" w14:textId="77777777" w:rsidR="00715555" w:rsidRPr="00715555" w:rsidRDefault="00715555" w:rsidP="00715555">
            <w:pPr>
              <w:numPr>
                <w:ilvl w:val="0"/>
                <w:numId w:val="11"/>
              </w:numPr>
              <w:spacing w:before="240" w:after="160" w:line="360" w:lineRule="auto"/>
              <w:ind w:left="285"/>
              <w:contextualSpacing/>
              <w:jc w:val="both"/>
              <w:rPr>
                <w:rFonts w:eastAsia="Calibri"/>
                <w:sz w:val="22"/>
                <w:szCs w:val="22"/>
              </w:rPr>
            </w:pPr>
          </w:p>
        </w:tc>
        <w:tc>
          <w:tcPr>
            <w:tcW w:w="2421" w:type="dxa"/>
          </w:tcPr>
          <w:p w14:paraId="455E92D7" w14:textId="77777777" w:rsidR="00715555" w:rsidRPr="00715555" w:rsidRDefault="00715555" w:rsidP="00715555">
            <w:pPr>
              <w:spacing w:before="240" w:line="360" w:lineRule="auto"/>
              <w:jc w:val="both"/>
              <w:rPr>
                <w:rFonts w:eastAsia="Calibri"/>
                <w:sz w:val="22"/>
                <w:szCs w:val="22"/>
              </w:rPr>
            </w:pPr>
            <w:r w:rsidRPr="00715555">
              <w:rPr>
                <w:rFonts w:eastAsia="Calibri"/>
                <w:sz w:val="22"/>
                <w:szCs w:val="22"/>
              </w:rPr>
              <w:t>V4 in the world; geopolitical situation, global actions</w:t>
            </w:r>
          </w:p>
        </w:tc>
        <w:tc>
          <w:tcPr>
            <w:tcW w:w="7274" w:type="dxa"/>
          </w:tcPr>
          <w:p w14:paraId="58340B9C" w14:textId="77777777" w:rsidR="00715555" w:rsidRPr="00715555" w:rsidRDefault="00715555" w:rsidP="00715555">
            <w:pPr>
              <w:spacing w:before="240" w:line="360" w:lineRule="auto"/>
              <w:ind w:left="48"/>
              <w:jc w:val="both"/>
              <w:rPr>
                <w:rFonts w:eastAsia="Calibri"/>
                <w:sz w:val="22"/>
                <w:szCs w:val="22"/>
              </w:rPr>
            </w:pPr>
            <w:r w:rsidRPr="00715555">
              <w:rPr>
                <w:rFonts w:eastAsia="Calibri"/>
                <w:sz w:val="22"/>
                <w:szCs w:val="22"/>
              </w:rPr>
              <w:t xml:space="preserve">Tamás </w:t>
            </w:r>
            <w:proofErr w:type="spellStart"/>
            <w:r w:rsidRPr="00715555">
              <w:rPr>
                <w:rFonts w:eastAsia="Calibri"/>
                <w:sz w:val="22"/>
                <w:szCs w:val="22"/>
              </w:rPr>
              <w:t>Magyarics</w:t>
            </w:r>
            <w:proofErr w:type="spellEnd"/>
            <w:r w:rsidRPr="00715555">
              <w:rPr>
                <w:rFonts w:eastAsia="Calibri"/>
                <w:sz w:val="22"/>
                <w:szCs w:val="22"/>
              </w:rPr>
              <w:t xml:space="preserve"> (2015): An Unsentimental Look at the Geopolitics of Central Europe, Part 1, Hungarian Review, Volume VI., No. 2., 17 March 2015</w:t>
            </w:r>
          </w:p>
          <w:p w14:paraId="3AF7FBB8" w14:textId="38852C84" w:rsidR="00715555" w:rsidRPr="00715555" w:rsidRDefault="00715555" w:rsidP="00715555">
            <w:pPr>
              <w:spacing w:before="240" w:line="360" w:lineRule="auto"/>
              <w:ind w:left="48"/>
              <w:jc w:val="both"/>
              <w:rPr>
                <w:rFonts w:eastAsia="Calibri"/>
                <w:sz w:val="22"/>
                <w:szCs w:val="22"/>
              </w:rPr>
            </w:pPr>
            <w:r w:rsidRPr="00715555">
              <w:rPr>
                <w:rFonts w:eastAsia="Calibri"/>
                <w:sz w:val="22"/>
                <w:szCs w:val="22"/>
              </w:rPr>
              <w:t xml:space="preserve">Tamás </w:t>
            </w:r>
            <w:proofErr w:type="spellStart"/>
            <w:r w:rsidRPr="00715555">
              <w:rPr>
                <w:rFonts w:eastAsia="Calibri"/>
                <w:sz w:val="22"/>
                <w:szCs w:val="22"/>
              </w:rPr>
              <w:t>Magyarics</w:t>
            </w:r>
            <w:proofErr w:type="spellEnd"/>
            <w:r w:rsidRPr="00715555">
              <w:rPr>
                <w:rFonts w:eastAsia="Calibri"/>
                <w:sz w:val="22"/>
                <w:szCs w:val="22"/>
              </w:rPr>
              <w:t xml:space="preserve"> (2015): An Unsentimental Look at the Geopolitics of Central Europe, Part 2, Volume VI., No. 3., 14 May 2015</w:t>
            </w:r>
          </w:p>
        </w:tc>
      </w:tr>
      <w:tr w:rsidR="00715555" w:rsidRPr="00715555" w14:paraId="31E18A47" w14:textId="77777777" w:rsidTr="00715555">
        <w:tc>
          <w:tcPr>
            <w:tcW w:w="699" w:type="dxa"/>
          </w:tcPr>
          <w:p w14:paraId="1C6616D4" w14:textId="77777777" w:rsidR="00715555" w:rsidRPr="00715555" w:rsidRDefault="00715555" w:rsidP="00715555">
            <w:pPr>
              <w:numPr>
                <w:ilvl w:val="0"/>
                <w:numId w:val="11"/>
              </w:numPr>
              <w:spacing w:before="240" w:after="160" w:line="360" w:lineRule="auto"/>
              <w:ind w:left="285"/>
              <w:contextualSpacing/>
              <w:jc w:val="both"/>
              <w:rPr>
                <w:rFonts w:eastAsia="Calibri"/>
                <w:sz w:val="22"/>
                <w:szCs w:val="22"/>
              </w:rPr>
            </w:pPr>
          </w:p>
        </w:tc>
        <w:tc>
          <w:tcPr>
            <w:tcW w:w="2421" w:type="dxa"/>
          </w:tcPr>
          <w:p w14:paraId="13869271" w14:textId="77777777" w:rsidR="00715555" w:rsidRPr="00715555" w:rsidRDefault="00715555" w:rsidP="00715555">
            <w:pPr>
              <w:spacing w:before="240" w:line="360" w:lineRule="auto"/>
              <w:jc w:val="both"/>
              <w:rPr>
                <w:rFonts w:eastAsia="Calibri"/>
                <w:sz w:val="22"/>
                <w:szCs w:val="22"/>
              </w:rPr>
            </w:pPr>
            <w:r w:rsidRPr="00715555">
              <w:rPr>
                <w:rFonts w:eastAsia="Calibri"/>
                <w:sz w:val="22"/>
                <w:szCs w:val="22"/>
              </w:rPr>
              <w:t>V4 and Russia; energy dependency, political ties</w:t>
            </w:r>
          </w:p>
        </w:tc>
        <w:tc>
          <w:tcPr>
            <w:tcW w:w="7274" w:type="dxa"/>
          </w:tcPr>
          <w:p w14:paraId="2CACC135" w14:textId="77777777" w:rsidR="00715555" w:rsidRPr="00715555" w:rsidRDefault="00715555" w:rsidP="00715555">
            <w:pPr>
              <w:spacing w:before="240" w:line="360" w:lineRule="auto"/>
              <w:ind w:left="48"/>
              <w:jc w:val="both"/>
              <w:rPr>
                <w:rFonts w:eastAsia="Calibri"/>
                <w:sz w:val="22"/>
                <w:szCs w:val="22"/>
              </w:rPr>
            </w:pPr>
            <w:r w:rsidRPr="00715555">
              <w:rPr>
                <w:rFonts w:eastAsia="Calibri"/>
                <w:sz w:val="22"/>
                <w:szCs w:val="22"/>
              </w:rPr>
              <w:t xml:space="preserve">Maria Raquel Freire (2012): Russia at the Borders of Central Europe: Changing Dynamics in Foreign Policy Relations in Zlatko </w:t>
            </w:r>
            <w:proofErr w:type="spellStart"/>
            <w:r w:rsidRPr="00715555">
              <w:rPr>
                <w:rFonts w:eastAsia="Calibri"/>
                <w:sz w:val="22"/>
                <w:szCs w:val="22"/>
              </w:rPr>
              <w:t>Šabič</w:t>
            </w:r>
            <w:proofErr w:type="spellEnd"/>
            <w:r w:rsidRPr="00715555">
              <w:rPr>
                <w:rFonts w:eastAsia="Calibri"/>
                <w:sz w:val="22"/>
                <w:szCs w:val="22"/>
              </w:rPr>
              <w:t xml:space="preserve">, Petr </w:t>
            </w:r>
            <w:proofErr w:type="spellStart"/>
            <w:r w:rsidRPr="00715555">
              <w:rPr>
                <w:rFonts w:eastAsia="Calibri"/>
                <w:sz w:val="22"/>
                <w:szCs w:val="22"/>
              </w:rPr>
              <w:t>Drulák</w:t>
            </w:r>
            <w:proofErr w:type="spellEnd"/>
            <w:r w:rsidRPr="00715555">
              <w:rPr>
                <w:rFonts w:eastAsia="Calibri"/>
                <w:sz w:val="22"/>
                <w:szCs w:val="22"/>
              </w:rPr>
              <w:t>(eds.) (2012): Regional and International Relations of Central Europe, Palgrave Macmillan, London, 2012, ISBN 978-1-349-34805-3 ISBN 978-1-137-28345-0 (eBook), DOI 10.1057/9781137283450 pp. 125-144</w:t>
            </w:r>
          </w:p>
          <w:p w14:paraId="246AD7B2" w14:textId="68099732" w:rsidR="00715555" w:rsidRPr="00715555" w:rsidRDefault="00715555" w:rsidP="00715555">
            <w:pPr>
              <w:spacing w:before="240" w:line="360" w:lineRule="auto"/>
              <w:ind w:left="48"/>
              <w:jc w:val="both"/>
              <w:rPr>
                <w:rFonts w:eastAsia="Calibri"/>
                <w:sz w:val="22"/>
                <w:szCs w:val="22"/>
              </w:rPr>
            </w:pPr>
            <w:r w:rsidRPr="00715555">
              <w:rPr>
                <w:rFonts w:eastAsia="Calibri"/>
                <w:sz w:val="22"/>
                <w:szCs w:val="22"/>
              </w:rPr>
              <w:t xml:space="preserve">Deák András. EU-Russia policies and the </w:t>
            </w:r>
            <w:proofErr w:type="spellStart"/>
            <w:r w:rsidRPr="00715555">
              <w:rPr>
                <w:rFonts w:eastAsia="Calibri"/>
                <w:sz w:val="22"/>
                <w:szCs w:val="22"/>
              </w:rPr>
              <w:t>Visegrad</w:t>
            </w:r>
            <w:proofErr w:type="spellEnd"/>
            <w:r w:rsidRPr="00715555">
              <w:rPr>
                <w:rFonts w:eastAsia="Calibri"/>
                <w:sz w:val="22"/>
                <w:szCs w:val="22"/>
              </w:rPr>
              <w:t xml:space="preserve"> Group. Foreign Policy Review. 2005, vol. 3, no. 1–2, pp. 142–167.</w:t>
            </w:r>
          </w:p>
        </w:tc>
      </w:tr>
      <w:tr w:rsidR="00715555" w:rsidRPr="00715555" w14:paraId="16CDD5D4" w14:textId="77777777" w:rsidTr="00715555">
        <w:tc>
          <w:tcPr>
            <w:tcW w:w="699" w:type="dxa"/>
          </w:tcPr>
          <w:p w14:paraId="34828BA1" w14:textId="77777777" w:rsidR="00715555" w:rsidRPr="00715555" w:rsidRDefault="00715555" w:rsidP="00715555">
            <w:pPr>
              <w:numPr>
                <w:ilvl w:val="0"/>
                <w:numId w:val="11"/>
              </w:numPr>
              <w:spacing w:before="240" w:after="160" w:line="360" w:lineRule="auto"/>
              <w:ind w:left="285"/>
              <w:contextualSpacing/>
              <w:jc w:val="both"/>
              <w:rPr>
                <w:rFonts w:eastAsia="Calibri"/>
                <w:sz w:val="22"/>
                <w:szCs w:val="22"/>
              </w:rPr>
            </w:pPr>
          </w:p>
        </w:tc>
        <w:tc>
          <w:tcPr>
            <w:tcW w:w="2421" w:type="dxa"/>
          </w:tcPr>
          <w:p w14:paraId="0F335E0F" w14:textId="77777777" w:rsidR="00715555" w:rsidRPr="00715555" w:rsidRDefault="00715555" w:rsidP="00715555">
            <w:pPr>
              <w:spacing w:before="240" w:line="360" w:lineRule="auto"/>
              <w:jc w:val="both"/>
              <w:rPr>
                <w:rFonts w:eastAsia="Calibri"/>
                <w:sz w:val="22"/>
                <w:szCs w:val="22"/>
              </w:rPr>
            </w:pPr>
            <w:r w:rsidRPr="00715555">
              <w:rPr>
                <w:rFonts w:eastAsia="Calibri"/>
                <w:sz w:val="22"/>
                <w:szCs w:val="22"/>
              </w:rPr>
              <w:t xml:space="preserve">V4 and the US; </w:t>
            </w:r>
            <w:proofErr w:type="spellStart"/>
            <w:r w:rsidRPr="00715555">
              <w:rPr>
                <w:rFonts w:eastAsia="Calibri"/>
                <w:sz w:val="22"/>
                <w:szCs w:val="22"/>
              </w:rPr>
              <w:t>atlantic</w:t>
            </w:r>
            <w:proofErr w:type="spellEnd"/>
            <w:r w:rsidRPr="00715555">
              <w:rPr>
                <w:rFonts w:eastAsia="Calibri"/>
                <w:sz w:val="22"/>
                <w:szCs w:val="22"/>
              </w:rPr>
              <w:t xml:space="preserve"> relations, political, economic and defense cooperation</w:t>
            </w:r>
          </w:p>
        </w:tc>
        <w:tc>
          <w:tcPr>
            <w:tcW w:w="7274" w:type="dxa"/>
          </w:tcPr>
          <w:p w14:paraId="40AC0C43" w14:textId="77777777" w:rsidR="00715555" w:rsidRPr="00715555" w:rsidRDefault="00715555" w:rsidP="00715555">
            <w:pPr>
              <w:spacing w:before="240" w:line="360" w:lineRule="auto"/>
              <w:ind w:left="48"/>
              <w:jc w:val="both"/>
              <w:rPr>
                <w:rFonts w:eastAsia="Calibri"/>
                <w:sz w:val="22"/>
                <w:szCs w:val="22"/>
              </w:rPr>
            </w:pPr>
            <w:r w:rsidRPr="00715555">
              <w:rPr>
                <w:rFonts w:eastAsia="Calibri"/>
                <w:sz w:val="22"/>
                <w:szCs w:val="22"/>
              </w:rPr>
              <w:t xml:space="preserve">Csizmazia, Gábor Central and Eastern Europe in U.S. Foreign and Security Policy In: Maciej, </w:t>
            </w:r>
            <w:proofErr w:type="spellStart"/>
            <w:r w:rsidRPr="00715555">
              <w:rPr>
                <w:rFonts w:eastAsia="Calibri"/>
                <w:sz w:val="22"/>
                <w:szCs w:val="22"/>
              </w:rPr>
              <w:t>Marszalek</w:t>
            </w:r>
            <w:proofErr w:type="spellEnd"/>
            <w:r w:rsidRPr="00715555">
              <w:rPr>
                <w:rFonts w:eastAsia="Calibri"/>
                <w:sz w:val="22"/>
                <w:szCs w:val="22"/>
              </w:rPr>
              <w:t xml:space="preserve">; </w:t>
            </w:r>
            <w:proofErr w:type="spellStart"/>
            <w:r w:rsidRPr="00715555">
              <w:rPr>
                <w:rFonts w:eastAsia="Calibri"/>
                <w:sz w:val="22"/>
                <w:szCs w:val="22"/>
              </w:rPr>
              <w:t>Waldemar</w:t>
            </w:r>
            <w:proofErr w:type="spellEnd"/>
            <w:r w:rsidRPr="00715555">
              <w:rPr>
                <w:rFonts w:eastAsia="Calibri"/>
                <w:sz w:val="22"/>
                <w:szCs w:val="22"/>
              </w:rPr>
              <w:t xml:space="preserve">, </w:t>
            </w:r>
            <w:proofErr w:type="spellStart"/>
            <w:r w:rsidRPr="00715555">
              <w:rPr>
                <w:rFonts w:eastAsia="Calibri"/>
                <w:sz w:val="22"/>
                <w:szCs w:val="22"/>
              </w:rPr>
              <w:t>Kitler</w:t>
            </w:r>
            <w:proofErr w:type="spellEnd"/>
            <w:r w:rsidRPr="00715555">
              <w:rPr>
                <w:rFonts w:eastAsia="Calibri"/>
                <w:sz w:val="22"/>
                <w:szCs w:val="22"/>
              </w:rPr>
              <w:t xml:space="preserve"> (</w:t>
            </w:r>
            <w:proofErr w:type="spellStart"/>
            <w:r w:rsidRPr="00715555">
              <w:rPr>
                <w:rFonts w:eastAsia="Calibri"/>
                <w:sz w:val="22"/>
                <w:szCs w:val="22"/>
              </w:rPr>
              <w:t>szerk</w:t>
            </w:r>
            <w:proofErr w:type="spellEnd"/>
            <w:r w:rsidRPr="00715555">
              <w:rPr>
                <w:rFonts w:eastAsia="Calibri"/>
                <w:sz w:val="22"/>
                <w:szCs w:val="22"/>
              </w:rPr>
              <w:t xml:space="preserve">.) </w:t>
            </w:r>
            <w:proofErr w:type="spellStart"/>
            <w:r w:rsidRPr="00715555">
              <w:rPr>
                <w:rFonts w:eastAsia="Calibri"/>
                <w:sz w:val="22"/>
                <w:szCs w:val="22"/>
              </w:rPr>
              <w:t>Współczesne</w:t>
            </w:r>
            <w:proofErr w:type="spellEnd"/>
            <w:r w:rsidRPr="00715555">
              <w:rPr>
                <w:rFonts w:eastAsia="Calibri"/>
                <w:sz w:val="22"/>
                <w:szCs w:val="22"/>
              </w:rPr>
              <w:t xml:space="preserve"> </w:t>
            </w:r>
            <w:proofErr w:type="spellStart"/>
            <w:r w:rsidRPr="00715555">
              <w:rPr>
                <w:rFonts w:eastAsia="Calibri"/>
                <w:sz w:val="22"/>
                <w:szCs w:val="22"/>
              </w:rPr>
              <w:t>Wyzwania</w:t>
            </w:r>
            <w:proofErr w:type="spellEnd"/>
            <w:r w:rsidRPr="00715555">
              <w:rPr>
                <w:rFonts w:eastAsia="Calibri"/>
                <w:sz w:val="22"/>
                <w:szCs w:val="22"/>
              </w:rPr>
              <w:t xml:space="preserve"> </w:t>
            </w:r>
            <w:proofErr w:type="spellStart"/>
            <w:r w:rsidRPr="00715555">
              <w:rPr>
                <w:rFonts w:eastAsia="Calibri"/>
                <w:sz w:val="22"/>
                <w:szCs w:val="22"/>
              </w:rPr>
              <w:t>dla</w:t>
            </w:r>
            <w:proofErr w:type="spellEnd"/>
            <w:r w:rsidRPr="00715555">
              <w:rPr>
                <w:rFonts w:eastAsia="Calibri"/>
                <w:sz w:val="22"/>
                <w:szCs w:val="22"/>
              </w:rPr>
              <w:t xml:space="preserve"> </w:t>
            </w:r>
            <w:proofErr w:type="spellStart"/>
            <w:r w:rsidRPr="00715555">
              <w:rPr>
                <w:rFonts w:eastAsia="Calibri"/>
                <w:sz w:val="22"/>
                <w:szCs w:val="22"/>
              </w:rPr>
              <w:t>Podmiotow</w:t>
            </w:r>
            <w:proofErr w:type="spellEnd"/>
            <w:r w:rsidRPr="00715555">
              <w:rPr>
                <w:rFonts w:eastAsia="Calibri"/>
                <w:sz w:val="22"/>
                <w:szCs w:val="22"/>
              </w:rPr>
              <w:t xml:space="preserve"> </w:t>
            </w:r>
            <w:proofErr w:type="spellStart"/>
            <w:r w:rsidRPr="00715555">
              <w:rPr>
                <w:rFonts w:eastAsia="Calibri"/>
                <w:sz w:val="22"/>
                <w:szCs w:val="22"/>
              </w:rPr>
              <w:t>Euroatlantyckiego</w:t>
            </w:r>
            <w:proofErr w:type="spellEnd"/>
            <w:r w:rsidRPr="00715555">
              <w:rPr>
                <w:rFonts w:eastAsia="Calibri"/>
                <w:sz w:val="22"/>
                <w:szCs w:val="22"/>
              </w:rPr>
              <w:t xml:space="preserve"> </w:t>
            </w:r>
            <w:proofErr w:type="spellStart"/>
            <w:r w:rsidRPr="00715555">
              <w:rPr>
                <w:rFonts w:eastAsia="Calibri"/>
                <w:sz w:val="22"/>
                <w:szCs w:val="22"/>
              </w:rPr>
              <w:t>Środowiska</w:t>
            </w:r>
            <w:proofErr w:type="spellEnd"/>
            <w:r w:rsidRPr="00715555">
              <w:rPr>
                <w:rFonts w:eastAsia="Calibri"/>
                <w:sz w:val="22"/>
                <w:szCs w:val="22"/>
              </w:rPr>
              <w:t xml:space="preserve"> </w:t>
            </w:r>
            <w:proofErr w:type="spellStart"/>
            <w:r w:rsidRPr="00715555">
              <w:rPr>
                <w:rFonts w:eastAsia="Calibri"/>
                <w:sz w:val="22"/>
                <w:szCs w:val="22"/>
              </w:rPr>
              <w:t>Bezpieczenstwa</w:t>
            </w:r>
            <w:proofErr w:type="spellEnd"/>
            <w:r w:rsidRPr="00715555">
              <w:rPr>
                <w:rFonts w:eastAsia="Calibri"/>
                <w:sz w:val="22"/>
                <w:szCs w:val="22"/>
              </w:rPr>
              <w:t xml:space="preserve"> </w:t>
            </w:r>
            <w:proofErr w:type="spellStart"/>
            <w:r w:rsidRPr="00715555">
              <w:rPr>
                <w:rFonts w:eastAsia="Calibri"/>
                <w:sz w:val="22"/>
                <w:szCs w:val="22"/>
              </w:rPr>
              <w:t>Varsó</w:t>
            </w:r>
            <w:proofErr w:type="spellEnd"/>
            <w:r w:rsidRPr="00715555">
              <w:rPr>
                <w:rFonts w:eastAsia="Calibri"/>
                <w:sz w:val="22"/>
                <w:szCs w:val="22"/>
              </w:rPr>
              <w:t xml:space="preserve">, </w:t>
            </w:r>
            <w:proofErr w:type="spellStart"/>
            <w:proofErr w:type="gramStart"/>
            <w:r w:rsidRPr="00715555">
              <w:rPr>
                <w:rFonts w:eastAsia="Calibri"/>
                <w:sz w:val="22"/>
                <w:szCs w:val="22"/>
              </w:rPr>
              <w:t>Lengyelország</w:t>
            </w:r>
            <w:proofErr w:type="spellEnd"/>
            <w:r w:rsidRPr="00715555">
              <w:rPr>
                <w:rFonts w:eastAsia="Calibri"/>
                <w:sz w:val="22"/>
                <w:szCs w:val="22"/>
              </w:rPr>
              <w:t xml:space="preserve"> :</w:t>
            </w:r>
            <w:proofErr w:type="gramEnd"/>
            <w:r w:rsidRPr="00715555">
              <w:rPr>
                <w:rFonts w:eastAsia="Calibri"/>
                <w:sz w:val="22"/>
                <w:szCs w:val="22"/>
              </w:rPr>
              <w:t xml:space="preserve"> </w:t>
            </w:r>
            <w:proofErr w:type="spellStart"/>
            <w:r w:rsidRPr="00715555">
              <w:rPr>
                <w:rFonts w:eastAsia="Calibri"/>
                <w:sz w:val="22"/>
                <w:szCs w:val="22"/>
              </w:rPr>
              <w:t>Akademia</w:t>
            </w:r>
            <w:proofErr w:type="spellEnd"/>
            <w:r w:rsidRPr="00715555">
              <w:rPr>
                <w:rFonts w:eastAsia="Calibri"/>
                <w:sz w:val="22"/>
                <w:szCs w:val="22"/>
              </w:rPr>
              <w:t xml:space="preserve"> </w:t>
            </w:r>
            <w:proofErr w:type="spellStart"/>
            <w:r w:rsidRPr="00715555">
              <w:rPr>
                <w:rFonts w:eastAsia="Calibri"/>
                <w:sz w:val="22"/>
                <w:szCs w:val="22"/>
              </w:rPr>
              <w:t>Obrony</w:t>
            </w:r>
            <w:proofErr w:type="spellEnd"/>
            <w:r w:rsidRPr="00715555">
              <w:rPr>
                <w:rFonts w:eastAsia="Calibri"/>
                <w:sz w:val="22"/>
                <w:szCs w:val="22"/>
              </w:rPr>
              <w:t xml:space="preserve"> </w:t>
            </w:r>
            <w:proofErr w:type="spellStart"/>
            <w:r w:rsidRPr="00715555">
              <w:rPr>
                <w:rFonts w:eastAsia="Calibri"/>
                <w:sz w:val="22"/>
                <w:szCs w:val="22"/>
              </w:rPr>
              <w:t>Narodowej</w:t>
            </w:r>
            <w:proofErr w:type="spellEnd"/>
            <w:r w:rsidRPr="00715555">
              <w:rPr>
                <w:rFonts w:eastAsia="Calibri"/>
                <w:sz w:val="22"/>
                <w:szCs w:val="22"/>
              </w:rPr>
              <w:t>, (2015) pp. 44-71. ,</w:t>
            </w:r>
          </w:p>
          <w:p w14:paraId="235F43A1" w14:textId="77777777" w:rsidR="00715555" w:rsidRPr="00715555" w:rsidRDefault="00715555" w:rsidP="00715555">
            <w:pPr>
              <w:spacing w:before="240" w:line="360" w:lineRule="auto"/>
              <w:ind w:left="48"/>
              <w:jc w:val="both"/>
              <w:rPr>
                <w:rFonts w:eastAsia="Calibri"/>
                <w:sz w:val="22"/>
                <w:szCs w:val="22"/>
              </w:rPr>
            </w:pPr>
            <w:r w:rsidRPr="00715555">
              <w:rPr>
                <w:rFonts w:eastAsia="Calibri"/>
                <w:sz w:val="22"/>
                <w:szCs w:val="22"/>
              </w:rPr>
              <w:t xml:space="preserve">Gábor Csizmazia (2017): Decisive Change or Determined Continuity? The Trump Administration’s Foreign and Security Policy Viewed from Central and Eastern Europe in Academic and Applied Research in Military and Public Management Science Volume 16 Issue 3 2017 ISSN 2498-5392 </w:t>
            </w:r>
            <w:hyperlink r:id="rId14" w:history="1">
              <w:r w:rsidRPr="00715555">
                <w:rPr>
                  <w:rFonts w:eastAsia="Calibri"/>
                  <w:color w:val="0000FF"/>
                  <w:sz w:val="22"/>
                  <w:szCs w:val="22"/>
                  <w:u w:val="single"/>
                </w:rPr>
                <w:t>https://www.uni-nke.hu/document/uni-nke-hu/AARMS_2017_03.pdf</w:t>
              </w:r>
            </w:hyperlink>
          </w:p>
          <w:p w14:paraId="06F8EDF7" w14:textId="6820E9E1" w:rsidR="00715555" w:rsidRPr="00715555" w:rsidRDefault="00715555" w:rsidP="00715555">
            <w:pPr>
              <w:spacing w:before="240" w:line="360" w:lineRule="auto"/>
              <w:jc w:val="both"/>
              <w:rPr>
                <w:rFonts w:eastAsia="Calibri"/>
                <w:sz w:val="22"/>
                <w:szCs w:val="22"/>
              </w:rPr>
            </w:pPr>
            <w:r w:rsidRPr="00715555">
              <w:rPr>
                <w:rFonts w:eastAsia="Calibri"/>
                <w:sz w:val="22"/>
                <w:szCs w:val="22"/>
              </w:rPr>
              <w:t xml:space="preserve">Remarks By Vice President Biden On America Central Europe And A Partnership for the 21st Century </w:t>
            </w:r>
            <w:hyperlink r:id="rId15" w:history="1">
              <w:r w:rsidRPr="00715555">
                <w:rPr>
                  <w:rFonts w:eastAsia="Calibri"/>
                  <w:color w:val="0000FF"/>
                  <w:sz w:val="22"/>
                  <w:szCs w:val="22"/>
                  <w:u w:val="single"/>
                </w:rPr>
                <w:t>https://obamawhitehouse.archives.gov/the-press-office/remarks-vice-president-biden-america-central-europe-and-a-partnership-21st-century</w:t>
              </w:r>
            </w:hyperlink>
          </w:p>
        </w:tc>
      </w:tr>
      <w:tr w:rsidR="00715555" w:rsidRPr="00715555" w14:paraId="15B4B902" w14:textId="77777777" w:rsidTr="00715555">
        <w:tc>
          <w:tcPr>
            <w:tcW w:w="699" w:type="dxa"/>
          </w:tcPr>
          <w:p w14:paraId="7190E939" w14:textId="77777777" w:rsidR="00715555" w:rsidRPr="00715555" w:rsidRDefault="00715555" w:rsidP="00715555">
            <w:pPr>
              <w:numPr>
                <w:ilvl w:val="0"/>
                <w:numId w:val="11"/>
              </w:numPr>
              <w:spacing w:before="240" w:line="360" w:lineRule="auto"/>
              <w:ind w:left="285"/>
              <w:contextualSpacing/>
              <w:jc w:val="both"/>
              <w:rPr>
                <w:rFonts w:eastAsia="Calibri"/>
                <w:sz w:val="22"/>
                <w:szCs w:val="22"/>
              </w:rPr>
            </w:pPr>
          </w:p>
        </w:tc>
        <w:tc>
          <w:tcPr>
            <w:tcW w:w="2421" w:type="dxa"/>
          </w:tcPr>
          <w:p w14:paraId="5F502D49" w14:textId="77777777" w:rsidR="00715555" w:rsidRPr="00715555" w:rsidRDefault="00715555" w:rsidP="00715555">
            <w:pPr>
              <w:spacing w:before="240" w:line="360" w:lineRule="auto"/>
              <w:jc w:val="both"/>
              <w:rPr>
                <w:rFonts w:eastAsia="Calibri"/>
                <w:sz w:val="22"/>
                <w:szCs w:val="22"/>
              </w:rPr>
            </w:pPr>
            <w:r w:rsidRPr="00715555">
              <w:rPr>
                <w:rFonts w:eastAsia="Calibri"/>
                <w:sz w:val="22"/>
                <w:szCs w:val="22"/>
              </w:rPr>
              <w:t>V4 and China; the new economic superpower</w:t>
            </w:r>
          </w:p>
        </w:tc>
        <w:tc>
          <w:tcPr>
            <w:tcW w:w="7274" w:type="dxa"/>
          </w:tcPr>
          <w:p w14:paraId="21E633D8" w14:textId="77777777" w:rsidR="00715555" w:rsidRPr="00715555" w:rsidRDefault="00715555" w:rsidP="00715555">
            <w:pPr>
              <w:autoSpaceDE w:val="0"/>
              <w:autoSpaceDN w:val="0"/>
              <w:adjustRightInd w:val="0"/>
              <w:spacing w:before="240" w:line="360" w:lineRule="auto"/>
              <w:ind w:left="48"/>
              <w:jc w:val="both"/>
              <w:rPr>
                <w:rFonts w:eastAsia="Calibri"/>
                <w:sz w:val="22"/>
                <w:szCs w:val="22"/>
                <w:lang w:val="hu-HU"/>
              </w:rPr>
            </w:pPr>
            <w:proofErr w:type="spellStart"/>
            <w:r w:rsidRPr="00715555">
              <w:rPr>
                <w:rFonts w:eastAsia="Calibri"/>
                <w:sz w:val="22"/>
                <w:szCs w:val="22"/>
                <w:lang w:val="hu-HU"/>
              </w:rPr>
              <w:t>Tamas</w:t>
            </w:r>
            <w:proofErr w:type="spellEnd"/>
            <w:r w:rsidRPr="00715555">
              <w:rPr>
                <w:rFonts w:eastAsia="Calibri"/>
                <w:sz w:val="22"/>
                <w:szCs w:val="22"/>
                <w:lang w:val="hu-HU"/>
              </w:rPr>
              <w:t xml:space="preserve"> </w:t>
            </w:r>
            <w:proofErr w:type="spellStart"/>
            <w:r w:rsidRPr="00715555">
              <w:rPr>
                <w:rFonts w:eastAsia="Calibri"/>
                <w:sz w:val="22"/>
                <w:szCs w:val="22"/>
                <w:lang w:val="hu-HU"/>
              </w:rPr>
              <w:t>Matura</w:t>
            </w:r>
            <w:proofErr w:type="spellEnd"/>
            <w:r w:rsidRPr="00715555">
              <w:rPr>
                <w:rFonts w:eastAsia="Calibri"/>
                <w:sz w:val="22"/>
                <w:szCs w:val="22"/>
                <w:lang w:val="hu-HU"/>
              </w:rPr>
              <w:t xml:space="preserve"> (2019): </w:t>
            </w:r>
            <w:proofErr w:type="spellStart"/>
            <w:r w:rsidRPr="00715555">
              <w:rPr>
                <w:rFonts w:eastAsia="Calibri"/>
                <w:sz w:val="22"/>
                <w:szCs w:val="22"/>
                <w:lang w:val="hu-HU"/>
              </w:rPr>
              <w:t>China</w:t>
            </w:r>
            <w:proofErr w:type="spellEnd"/>
            <w:r w:rsidRPr="00715555">
              <w:rPr>
                <w:rFonts w:eastAsia="Calibri"/>
                <w:sz w:val="22"/>
                <w:szCs w:val="22"/>
                <w:lang w:val="hu-HU"/>
              </w:rPr>
              <w:t xml:space="preserve">–CEE Trade, </w:t>
            </w:r>
            <w:proofErr w:type="spellStart"/>
            <w:r w:rsidRPr="00715555">
              <w:rPr>
                <w:rFonts w:eastAsia="Calibri"/>
                <w:sz w:val="22"/>
                <w:szCs w:val="22"/>
                <w:lang w:val="hu-HU"/>
              </w:rPr>
              <w:t>Investment</w:t>
            </w:r>
            <w:proofErr w:type="spellEnd"/>
            <w:r w:rsidRPr="00715555">
              <w:rPr>
                <w:rFonts w:eastAsia="Calibri"/>
                <w:sz w:val="22"/>
                <w:szCs w:val="22"/>
                <w:lang w:val="hu-HU"/>
              </w:rPr>
              <w:t xml:space="preserve"> and </w:t>
            </w:r>
            <w:proofErr w:type="spellStart"/>
            <w:r w:rsidRPr="00715555">
              <w:rPr>
                <w:rFonts w:eastAsia="Calibri"/>
                <w:sz w:val="22"/>
                <w:szCs w:val="22"/>
                <w:lang w:val="hu-HU"/>
              </w:rPr>
              <w:t>Politics</w:t>
            </w:r>
            <w:proofErr w:type="spellEnd"/>
            <w:r w:rsidRPr="00715555">
              <w:rPr>
                <w:rFonts w:eastAsia="Calibri"/>
                <w:sz w:val="22"/>
                <w:szCs w:val="22"/>
                <w:lang w:val="hu-HU"/>
              </w:rPr>
              <w:t xml:space="preserve">, </w:t>
            </w:r>
            <w:proofErr w:type="spellStart"/>
            <w:r w:rsidRPr="00715555">
              <w:rPr>
                <w:rFonts w:eastAsia="Calibri"/>
                <w:sz w:val="22"/>
                <w:szCs w:val="22"/>
                <w:lang w:val="hu-HU"/>
              </w:rPr>
              <w:t>Europe-Asia</w:t>
            </w:r>
            <w:proofErr w:type="spellEnd"/>
            <w:r w:rsidRPr="00715555">
              <w:rPr>
                <w:rFonts w:eastAsia="Calibri"/>
                <w:sz w:val="22"/>
                <w:szCs w:val="22"/>
                <w:lang w:val="hu-HU"/>
              </w:rPr>
              <w:t xml:space="preserve"> </w:t>
            </w:r>
            <w:proofErr w:type="spellStart"/>
            <w:r w:rsidRPr="00715555">
              <w:rPr>
                <w:rFonts w:eastAsia="Calibri"/>
                <w:sz w:val="22"/>
                <w:szCs w:val="22"/>
                <w:lang w:val="hu-HU"/>
              </w:rPr>
              <w:t>Studies</w:t>
            </w:r>
            <w:proofErr w:type="spellEnd"/>
            <w:r w:rsidRPr="00715555">
              <w:rPr>
                <w:rFonts w:eastAsia="Calibri"/>
                <w:sz w:val="22"/>
                <w:szCs w:val="22"/>
                <w:lang w:val="hu-HU"/>
              </w:rPr>
              <w:t>, DOI: 10.1080/09668136.2019.1571166</w:t>
            </w:r>
          </w:p>
          <w:p w14:paraId="4DC83C0E" w14:textId="52FA51CC" w:rsidR="00715555" w:rsidRPr="00715555" w:rsidRDefault="00715555" w:rsidP="00715555">
            <w:pPr>
              <w:spacing w:before="240" w:line="360" w:lineRule="auto"/>
              <w:ind w:left="48"/>
              <w:jc w:val="both"/>
              <w:rPr>
                <w:rFonts w:eastAsia="Calibri"/>
                <w:sz w:val="22"/>
                <w:szCs w:val="22"/>
                <w:lang w:val="hu-HU"/>
              </w:rPr>
            </w:pPr>
            <w:r w:rsidRPr="00715555">
              <w:rPr>
                <w:rFonts w:eastAsia="Calibri"/>
                <w:sz w:val="22"/>
                <w:szCs w:val="22"/>
                <w:lang w:val="hu-HU"/>
              </w:rPr>
              <w:t xml:space="preserve">Ewa </w:t>
            </w:r>
            <w:proofErr w:type="spellStart"/>
            <w:r w:rsidRPr="00715555">
              <w:rPr>
                <w:rFonts w:eastAsia="Calibri"/>
                <w:sz w:val="22"/>
                <w:szCs w:val="22"/>
                <w:lang w:val="hu-HU"/>
              </w:rPr>
              <w:t>Cieślik</w:t>
            </w:r>
            <w:proofErr w:type="spellEnd"/>
            <w:r w:rsidRPr="00715555">
              <w:rPr>
                <w:rFonts w:eastAsia="Calibri"/>
                <w:sz w:val="22"/>
                <w:szCs w:val="22"/>
                <w:lang w:val="hu-HU"/>
              </w:rPr>
              <w:t xml:space="preserve"> (2019) </w:t>
            </w:r>
            <w:proofErr w:type="spellStart"/>
            <w:r w:rsidRPr="00715555">
              <w:rPr>
                <w:rFonts w:eastAsia="Calibri"/>
                <w:sz w:val="22"/>
                <w:szCs w:val="22"/>
                <w:lang w:val="hu-HU"/>
              </w:rPr>
              <w:t>Towards</w:t>
            </w:r>
            <w:proofErr w:type="spellEnd"/>
            <w:r w:rsidRPr="00715555">
              <w:rPr>
                <w:rFonts w:eastAsia="Calibri"/>
                <w:sz w:val="22"/>
                <w:szCs w:val="22"/>
                <w:lang w:val="hu-HU"/>
              </w:rPr>
              <w:t xml:space="preserve"> more (un</w:t>
            </w:r>
            <w:proofErr w:type="gramStart"/>
            <w:r w:rsidRPr="00715555">
              <w:rPr>
                <w:rFonts w:eastAsia="Calibri"/>
                <w:sz w:val="22"/>
                <w:szCs w:val="22"/>
                <w:lang w:val="hu-HU"/>
              </w:rPr>
              <w:t>)</w:t>
            </w:r>
            <w:proofErr w:type="spellStart"/>
            <w:r w:rsidRPr="00715555">
              <w:rPr>
                <w:rFonts w:eastAsia="Calibri"/>
                <w:sz w:val="22"/>
                <w:szCs w:val="22"/>
                <w:lang w:val="hu-HU"/>
              </w:rPr>
              <w:t>balanced</w:t>
            </w:r>
            <w:proofErr w:type="spellEnd"/>
            <w:proofErr w:type="gramEnd"/>
            <w:r w:rsidRPr="00715555">
              <w:rPr>
                <w:rFonts w:eastAsia="Calibri"/>
                <w:sz w:val="22"/>
                <w:szCs w:val="22"/>
                <w:lang w:val="hu-HU"/>
              </w:rPr>
              <w:t xml:space="preserve"> trade. </w:t>
            </w:r>
            <w:proofErr w:type="spellStart"/>
            <w:r w:rsidRPr="00715555">
              <w:rPr>
                <w:rFonts w:eastAsia="Calibri"/>
                <w:sz w:val="22"/>
                <w:szCs w:val="22"/>
                <w:lang w:val="hu-HU"/>
              </w:rPr>
              <w:t>Production</w:t>
            </w:r>
            <w:proofErr w:type="spellEnd"/>
            <w:r w:rsidRPr="00715555">
              <w:rPr>
                <w:rFonts w:eastAsia="Calibri"/>
                <w:sz w:val="22"/>
                <w:szCs w:val="22"/>
                <w:lang w:val="hu-HU"/>
              </w:rPr>
              <w:t xml:space="preserve"> </w:t>
            </w:r>
            <w:proofErr w:type="spellStart"/>
            <w:r w:rsidRPr="00715555">
              <w:rPr>
                <w:rFonts w:eastAsia="Calibri"/>
                <w:sz w:val="22"/>
                <w:szCs w:val="22"/>
                <w:lang w:val="hu-HU"/>
              </w:rPr>
              <w:t>linkages</w:t>
            </w:r>
            <w:proofErr w:type="spellEnd"/>
            <w:r w:rsidRPr="00715555">
              <w:rPr>
                <w:rFonts w:eastAsia="Calibri"/>
                <w:sz w:val="22"/>
                <w:szCs w:val="22"/>
                <w:lang w:val="hu-HU"/>
              </w:rPr>
              <w:t xml:space="preserve"> </w:t>
            </w:r>
            <w:proofErr w:type="spellStart"/>
            <w:r w:rsidRPr="00715555">
              <w:rPr>
                <w:rFonts w:eastAsia="Calibri"/>
                <w:sz w:val="22"/>
                <w:szCs w:val="22"/>
                <w:lang w:val="hu-HU"/>
              </w:rPr>
              <w:t>between</w:t>
            </w:r>
            <w:proofErr w:type="spellEnd"/>
            <w:r w:rsidRPr="00715555">
              <w:rPr>
                <w:rFonts w:eastAsia="Calibri"/>
                <w:sz w:val="22"/>
                <w:szCs w:val="22"/>
                <w:lang w:val="hu-HU"/>
              </w:rPr>
              <w:t xml:space="preserve"> </w:t>
            </w:r>
            <w:proofErr w:type="spellStart"/>
            <w:r w:rsidRPr="00715555">
              <w:rPr>
                <w:rFonts w:eastAsia="Calibri"/>
                <w:sz w:val="22"/>
                <w:szCs w:val="22"/>
                <w:lang w:val="hu-HU"/>
              </w:rPr>
              <w:t>China</w:t>
            </w:r>
            <w:proofErr w:type="spellEnd"/>
            <w:r w:rsidRPr="00715555">
              <w:rPr>
                <w:rFonts w:eastAsia="Calibri"/>
                <w:sz w:val="22"/>
                <w:szCs w:val="22"/>
                <w:lang w:val="hu-HU"/>
              </w:rPr>
              <w:t xml:space="preserve"> and </w:t>
            </w:r>
            <w:proofErr w:type="spellStart"/>
            <w:r w:rsidRPr="00715555">
              <w:rPr>
                <w:rFonts w:eastAsia="Calibri"/>
                <w:sz w:val="22"/>
                <w:szCs w:val="22"/>
                <w:lang w:val="hu-HU"/>
              </w:rPr>
              <w:t>the</w:t>
            </w:r>
            <w:proofErr w:type="spellEnd"/>
            <w:r w:rsidRPr="00715555">
              <w:rPr>
                <w:rFonts w:eastAsia="Calibri"/>
                <w:sz w:val="22"/>
                <w:szCs w:val="22"/>
                <w:lang w:val="hu-HU"/>
              </w:rPr>
              <w:t xml:space="preserve"> </w:t>
            </w:r>
            <w:proofErr w:type="spellStart"/>
            <w:r w:rsidRPr="00715555">
              <w:rPr>
                <w:rFonts w:eastAsia="Calibri"/>
                <w:sz w:val="22"/>
                <w:szCs w:val="22"/>
                <w:lang w:val="hu-HU"/>
              </w:rPr>
              <w:t>Visegrad</w:t>
            </w:r>
            <w:proofErr w:type="spellEnd"/>
            <w:r w:rsidRPr="00715555">
              <w:rPr>
                <w:rFonts w:eastAsia="Calibri"/>
                <w:sz w:val="22"/>
                <w:szCs w:val="22"/>
                <w:lang w:val="hu-HU"/>
              </w:rPr>
              <w:t xml:space="preserve"> </w:t>
            </w:r>
            <w:proofErr w:type="spellStart"/>
            <w:r w:rsidRPr="00715555">
              <w:rPr>
                <w:rFonts w:eastAsia="Calibri"/>
                <w:sz w:val="22"/>
                <w:szCs w:val="22"/>
                <w:lang w:val="hu-HU"/>
              </w:rPr>
              <w:t>countries</w:t>
            </w:r>
            <w:proofErr w:type="spellEnd"/>
            <w:r w:rsidRPr="00715555">
              <w:rPr>
                <w:rFonts w:eastAsia="Calibri"/>
                <w:sz w:val="22"/>
                <w:szCs w:val="22"/>
                <w:lang w:val="hu-HU"/>
              </w:rPr>
              <w:t xml:space="preserve">: </w:t>
            </w:r>
            <w:proofErr w:type="spellStart"/>
            <w:r w:rsidRPr="00715555">
              <w:rPr>
                <w:rFonts w:eastAsia="Calibri"/>
                <w:sz w:val="22"/>
                <w:szCs w:val="22"/>
                <w:lang w:val="hu-HU"/>
              </w:rPr>
              <w:t>country-level</w:t>
            </w:r>
            <w:proofErr w:type="spellEnd"/>
            <w:r w:rsidRPr="00715555">
              <w:rPr>
                <w:rFonts w:eastAsia="Calibri"/>
                <w:sz w:val="22"/>
                <w:szCs w:val="22"/>
                <w:lang w:val="hu-HU"/>
              </w:rPr>
              <w:t xml:space="preserve"> and </w:t>
            </w:r>
            <w:proofErr w:type="spellStart"/>
            <w:r w:rsidRPr="00715555">
              <w:rPr>
                <w:rFonts w:eastAsia="Calibri"/>
                <w:sz w:val="22"/>
                <w:szCs w:val="22"/>
                <w:lang w:val="hu-HU"/>
              </w:rPr>
              <w:t>sector-level</w:t>
            </w:r>
            <w:proofErr w:type="spellEnd"/>
            <w:r w:rsidRPr="00715555">
              <w:rPr>
                <w:rFonts w:eastAsia="Calibri"/>
                <w:sz w:val="22"/>
                <w:szCs w:val="22"/>
                <w:lang w:val="hu-HU"/>
              </w:rPr>
              <w:t xml:space="preserve"> </w:t>
            </w:r>
            <w:proofErr w:type="spellStart"/>
            <w:r w:rsidRPr="00715555">
              <w:rPr>
                <w:rFonts w:eastAsia="Calibri"/>
                <w:sz w:val="22"/>
                <w:szCs w:val="22"/>
                <w:lang w:val="hu-HU"/>
              </w:rPr>
              <w:t>analysis</w:t>
            </w:r>
            <w:proofErr w:type="spellEnd"/>
            <w:r w:rsidRPr="00715555">
              <w:rPr>
                <w:rFonts w:eastAsia="Calibri"/>
                <w:sz w:val="22"/>
                <w:szCs w:val="22"/>
                <w:lang w:val="hu-HU"/>
              </w:rPr>
              <w:t xml:space="preserve">, European </w:t>
            </w:r>
            <w:proofErr w:type="spellStart"/>
            <w:r w:rsidRPr="00715555">
              <w:rPr>
                <w:rFonts w:eastAsia="Calibri"/>
                <w:sz w:val="22"/>
                <w:szCs w:val="22"/>
                <w:lang w:val="hu-HU"/>
              </w:rPr>
              <w:t>Planning</w:t>
            </w:r>
            <w:proofErr w:type="spellEnd"/>
            <w:r w:rsidRPr="00715555">
              <w:rPr>
                <w:rFonts w:eastAsia="Calibri"/>
                <w:sz w:val="22"/>
                <w:szCs w:val="22"/>
                <w:lang w:val="hu-HU"/>
              </w:rPr>
              <w:t xml:space="preserve"> </w:t>
            </w:r>
            <w:proofErr w:type="spellStart"/>
            <w:r w:rsidRPr="00715555">
              <w:rPr>
                <w:rFonts w:eastAsia="Calibri"/>
                <w:sz w:val="22"/>
                <w:szCs w:val="22"/>
                <w:lang w:val="hu-HU"/>
              </w:rPr>
              <w:t>Studies</w:t>
            </w:r>
            <w:proofErr w:type="spellEnd"/>
            <w:r w:rsidRPr="00715555">
              <w:rPr>
                <w:rFonts w:eastAsia="Calibri"/>
                <w:sz w:val="22"/>
                <w:szCs w:val="22"/>
                <w:lang w:val="hu-HU"/>
              </w:rPr>
              <w:t>, 27:8, 1523-1541, DOI: 10.1080/09654313.2019.1589424</w:t>
            </w:r>
          </w:p>
        </w:tc>
      </w:tr>
      <w:tr w:rsidR="00715555" w:rsidRPr="00715555" w14:paraId="5DCBC098" w14:textId="77777777" w:rsidTr="00715555">
        <w:tc>
          <w:tcPr>
            <w:tcW w:w="10394" w:type="dxa"/>
            <w:gridSpan w:val="3"/>
          </w:tcPr>
          <w:p w14:paraId="512A45FC" w14:textId="77777777" w:rsidR="00715555" w:rsidRPr="00715555" w:rsidRDefault="00715555" w:rsidP="00715555">
            <w:pPr>
              <w:autoSpaceDE w:val="0"/>
              <w:autoSpaceDN w:val="0"/>
              <w:adjustRightInd w:val="0"/>
              <w:spacing w:before="240" w:line="360" w:lineRule="auto"/>
              <w:ind w:left="48"/>
              <w:jc w:val="both"/>
              <w:rPr>
                <w:rFonts w:eastAsia="Calibri"/>
                <w:sz w:val="22"/>
                <w:szCs w:val="22"/>
                <w:lang w:val="hu-HU"/>
              </w:rPr>
            </w:pPr>
            <w:proofErr w:type="spellStart"/>
            <w:r w:rsidRPr="00715555">
              <w:rPr>
                <w:rFonts w:eastAsia="Calibri"/>
                <w:sz w:val="22"/>
                <w:szCs w:val="22"/>
                <w:lang w:val="hu-HU"/>
              </w:rPr>
              <w:t>In-class</w:t>
            </w:r>
            <w:proofErr w:type="spellEnd"/>
            <w:r w:rsidRPr="00715555">
              <w:rPr>
                <w:rFonts w:eastAsia="Calibri"/>
                <w:sz w:val="22"/>
                <w:szCs w:val="22"/>
                <w:lang w:val="hu-HU"/>
              </w:rPr>
              <w:t xml:space="preserve"> </w:t>
            </w:r>
            <w:proofErr w:type="spellStart"/>
            <w:r w:rsidRPr="00715555">
              <w:rPr>
                <w:rFonts w:eastAsia="Calibri"/>
                <w:sz w:val="22"/>
                <w:szCs w:val="22"/>
                <w:lang w:val="hu-HU"/>
              </w:rPr>
              <w:t>written</w:t>
            </w:r>
            <w:proofErr w:type="spellEnd"/>
            <w:r w:rsidRPr="00715555">
              <w:rPr>
                <w:rFonts w:eastAsia="Calibri"/>
                <w:sz w:val="22"/>
                <w:szCs w:val="22"/>
                <w:lang w:val="hu-HU"/>
              </w:rPr>
              <w:t xml:space="preserve"> </w:t>
            </w:r>
            <w:proofErr w:type="spellStart"/>
            <w:r w:rsidRPr="00715555">
              <w:rPr>
                <w:rFonts w:eastAsia="Calibri"/>
                <w:sz w:val="22"/>
                <w:szCs w:val="22"/>
                <w:lang w:val="hu-HU"/>
              </w:rPr>
              <w:t>exam</w:t>
            </w:r>
            <w:proofErr w:type="spellEnd"/>
            <w:r w:rsidRPr="00715555">
              <w:rPr>
                <w:rFonts w:eastAsia="Calibri"/>
                <w:sz w:val="22"/>
                <w:szCs w:val="22"/>
                <w:lang w:val="hu-HU"/>
              </w:rPr>
              <w:t xml:space="preserve"> </w:t>
            </w:r>
            <w:proofErr w:type="spellStart"/>
            <w:r w:rsidRPr="00715555">
              <w:rPr>
                <w:rFonts w:eastAsia="Calibri"/>
                <w:sz w:val="22"/>
                <w:szCs w:val="22"/>
                <w:lang w:val="hu-HU"/>
              </w:rPr>
              <w:t>at</w:t>
            </w:r>
            <w:proofErr w:type="spellEnd"/>
            <w:r w:rsidRPr="00715555">
              <w:rPr>
                <w:rFonts w:eastAsia="Calibri"/>
                <w:sz w:val="22"/>
                <w:szCs w:val="22"/>
                <w:lang w:val="hu-HU"/>
              </w:rPr>
              <w:t xml:space="preserve"> </w:t>
            </w:r>
            <w:proofErr w:type="spellStart"/>
            <w:r w:rsidRPr="00715555">
              <w:rPr>
                <w:rFonts w:eastAsia="Calibri"/>
                <w:sz w:val="22"/>
                <w:szCs w:val="22"/>
                <w:lang w:val="hu-HU"/>
              </w:rPr>
              <w:t>the</w:t>
            </w:r>
            <w:proofErr w:type="spellEnd"/>
            <w:r w:rsidRPr="00715555">
              <w:rPr>
                <w:rFonts w:eastAsia="Calibri"/>
                <w:sz w:val="22"/>
                <w:szCs w:val="22"/>
                <w:lang w:val="hu-HU"/>
              </w:rPr>
              <w:t xml:space="preserve"> end of </w:t>
            </w:r>
            <w:proofErr w:type="spellStart"/>
            <w:r w:rsidRPr="00715555">
              <w:rPr>
                <w:rFonts w:eastAsia="Calibri"/>
                <w:sz w:val="22"/>
                <w:szCs w:val="22"/>
                <w:lang w:val="hu-HU"/>
              </w:rPr>
              <w:t>the</w:t>
            </w:r>
            <w:proofErr w:type="spellEnd"/>
            <w:r w:rsidRPr="00715555">
              <w:rPr>
                <w:rFonts w:eastAsia="Calibri"/>
                <w:sz w:val="22"/>
                <w:szCs w:val="22"/>
                <w:lang w:val="hu-HU"/>
              </w:rPr>
              <w:t xml:space="preserve"> </w:t>
            </w:r>
            <w:proofErr w:type="spellStart"/>
            <w:r w:rsidRPr="00715555">
              <w:rPr>
                <w:rFonts w:eastAsia="Calibri"/>
                <w:sz w:val="22"/>
                <w:szCs w:val="22"/>
                <w:lang w:val="hu-HU"/>
              </w:rPr>
              <w:t>semester</w:t>
            </w:r>
            <w:proofErr w:type="spellEnd"/>
            <w:r w:rsidRPr="00715555">
              <w:rPr>
                <w:rFonts w:eastAsia="Calibri"/>
                <w:sz w:val="22"/>
                <w:szCs w:val="22"/>
                <w:lang w:val="hu-HU"/>
              </w:rPr>
              <w:t>.</w:t>
            </w:r>
          </w:p>
        </w:tc>
      </w:tr>
    </w:tbl>
    <w:p w14:paraId="00E31E0B" w14:textId="77777777" w:rsidR="00715555" w:rsidRDefault="00715555" w:rsidP="00715555">
      <w:pPr>
        <w:spacing w:after="160" w:line="360" w:lineRule="auto"/>
        <w:jc w:val="both"/>
        <w:rPr>
          <w:rFonts w:eastAsia="Calibri"/>
          <w:b/>
          <w:sz w:val="22"/>
          <w:szCs w:val="22"/>
        </w:rPr>
      </w:pPr>
    </w:p>
    <w:p w14:paraId="4A525210" w14:textId="24044C5D" w:rsidR="00715555" w:rsidRPr="00715555" w:rsidRDefault="00715555" w:rsidP="00715555">
      <w:pPr>
        <w:spacing w:after="160" w:line="360" w:lineRule="auto"/>
        <w:jc w:val="both"/>
        <w:rPr>
          <w:rFonts w:eastAsia="Calibri"/>
          <w:b/>
          <w:sz w:val="22"/>
          <w:szCs w:val="22"/>
        </w:rPr>
      </w:pPr>
      <w:r w:rsidRPr="00715555">
        <w:rPr>
          <w:rFonts w:eastAsia="Calibri"/>
          <w:b/>
          <w:sz w:val="22"/>
          <w:szCs w:val="22"/>
        </w:rPr>
        <w:t>Text book</w:t>
      </w:r>
    </w:p>
    <w:p w14:paraId="532306E1" w14:textId="77777777" w:rsidR="00715555" w:rsidRPr="00715555" w:rsidRDefault="00715555" w:rsidP="00715555">
      <w:pPr>
        <w:spacing w:after="160" w:line="360" w:lineRule="auto"/>
        <w:jc w:val="both"/>
        <w:rPr>
          <w:rFonts w:eastAsia="Calibri"/>
          <w:b/>
          <w:sz w:val="22"/>
          <w:szCs w:val="22"/>
        </w:rPr>
      </w:pPr>
      <w:r w:rsidRPr="00715555">
        <w:rPr>
          <w:rFonts w:eastAsia="Calibri"/>
          <w:sz w:val="22"/>
          <w:szCs w:val="22"/>
        </w:rPr>
        <w:t xml:space="preserve">Zlatko </w:t>
      </w:r>
      <w:proofErr w:type="spellStart"/>
      <w:r w:rsidRPr="00715555">
        <w:rPr>
          <w:rFonts w:eastAsia="Calibri"/>
          <w:sz w:val="22"/>
          <w:szCs w:val="22"/>
        </w:rPr>
        <w:t>Šabič</w:t>
      </w:r>
      <w:proofErr w:type="spellEnd"/>
      <w:r w:rsidRPr="00715555">
        <w:rPr>
          <w:rFonts w:eastAsia="Calibri"/>
          <w:sz w:val="22"/>
          <w:szCs w:val="22"/>
        </w:rPr>
        <w:t xml:space="preserve">, Petr </w:t>
      </w:r>
      <w:proofErr w:type="spellStart"/>
      <w:proofErr w:type="gramStart"/>
      <w:r w:rsidRPr="00715555">
        <w:rPr>
          <w:rFonts w:eastAsia="Calibri"/>
          <w:sz w:val="22"/>
          <w:szCs w:val="22"/>
        </w:rPr>
        <w:t>Drulák</w:t>
      </w:r>
      <w:proofErr w:type="spellEnd"/>
      <w:r w:rsidRPr="00715555">
        <w:rPr>
          <w:rFonts w:eastAsia="Calibri"/>
          <w:sz w:val="22"/>
          <w:szCs w:val="22"/>
        </w:rPr>
        <w:t>(</w:t>
      </w:r>
      <w:proofErr w:type="gramEnd"/>
      <w:r w:rsidRPr="00715555">
        <w:rPr>
          <w:rFonts w:eastAsia="Calibri"/>
          <w:sz w:val="22"/>
          <w:szCs w:val="22"/>
        </w:rPr>
        <w:t>eds.) (2012): Regional and International Relations of Central Europe, Palgrave Macmillan, London, 2012, ISBN 978-1-349-34805-3 ISBN 978-1-137-28345-0 (eBook), DOI 10.1057/9781137283450 pp. 125-144</w:t>
      </w:r>
    </w:p>
    <w:p w14:paraId="01CBC221" w14:textId="77777777" w:rsidR="00715555" w:rsidRPr="00715555" w:rsidRDefault="00715555" w:rsidP="00715555">
      <w:pPr>
        <w:spacing w:after="160" w:line="360" w:lineRule="auto"/>
        <w:jc w:val="both"/>
        <w:rPr>
          <w:rFonts w:eastAsia="Calibri"/>
          <w:sz w:val="22"/>
          <w:szCs w:val="22"/>
        </w:rPr>
      </w:pPr>
      <w:r w:rsidRPr="00715555">
        <w:rPr>
          <w:rFonts w:eastAsia="Calibri"/>
          <w:sz w:val="22"/>
          <w:szCs w:val="22"/>
        </w:rPr>
        <w:t xml:space="preserve">Andrew </w:t>
      </w:r>
      <w:proofErr w:type="spellStart"/>
      <w:r w:rsidRPr="00715555">
        <w:rPr>
          <w:rFonts w:eastAsia="Calibri"/>
          <w:sz w:val="22"/>
          <w:szCs w:val="22"/>
        </w:rPr>
        <w:t>Cottey</w:t>
      </w:r>
      <w:proofErr w:type="spellEnd"/>
      <w:r w:rsidRPr="00715555">
        <w:rPr>
          <w:rFonts w:eastAsia="Calibri"/>
          <w:sz w:val="22"/>
          <w:szCs w:val="22"/>
        </w:rPr>
        <w:t xml:space="preserve"> (1995): East-Central Europe after the Cold War Poland, the Czech Republic, Slovakia and Hungary in Search of Security, Palgrave Macmillan, London, ISBN 0-333-63929-4</w:t>
      </w:r>
    </w:p>
    <w:p w14:paraId="4733D7D0" w14:textId="77777777" w:rsidR="00715555" w:rsidRDefault="00715555" w:rsidP="00715555"/>
    <w:p w14:paraId="2AEB1311" w14:textId="130F1BDD" w:rsidR="00715555" w:rsidRPr="00715555" w:rsidRDefault="00715555" w:rsidP="00715555">
      <w:pPr>
        <w:rPr>
          <w:b/>
        </w:rPr>
      </w:pPr>
      <w:r w:rsidRPr="00715555">
        <w:rPr>
          <w:b/>
        </w:rPr>
        <w:t>Assessment</w:t>
      </w:r>
    </w:p>
    <w:p w14:paraId="1747381D" w14:textId="77777777" w:rsidR="00715555" w:rsidRDefault="00715555" w:rsidP="00715555"/>
    <w:p w14:paraId="17AFEC09" w14:textId="77777777" w:rsidR="00715555" w:rsidRDefault="00715555" w:rsidP="00715555">
      <w:r>
        <w:t>Grading criteria</w:t>
      </w:r>
    </w:p>
    <w:p w14:paraId="52FEC84B" w14:textId="758852D2" w:rsidR="00715555" w:rsidRDefault="00715555" w:rsidP="00715555">
      <w:pPr>
        <w:pStyle w:val="Listaszerbekezds"/>
        <w:numPr>
          <w:ilvl w:val="0"/>
          <w:numId w:val="14"/>
        </w:numPr>
      </w:pPr>
      <w:proofErr w:type="gramStart"/>
      <w:r>
        <w:t>attendance</w:t>
      </w:r>
      <w:proofErr w:type="gramEnd"/>
      <w:r>
        <w:t xml:space="preserve"> (15%)</w:t>
      </w:r>
    </w:p>
    <w:p w14:paraId="1356D9D6" w14:textId="04480FEB" w:rsidR="00715555" w:rsidRDefault="00715555" w:rsidP="00715555">
      <w:pPr>
        <w:pStyle w:val="Listaszerbekezds"/>
        <w:numPr>
          <w:ilvl w:val="0"/>
          <w:numId w:val="14"/>
        </w:numPr>
      </w:pPr>
      <w:proofErr w:type="gramStart"/>
      <w:r>
        <w:t>reading</w:t>
      </w:r>
      <w:proofErr w:type="gramEnd"/>
      <w:r>
        <w:t xml:space="preserve"> and homework assignments (20%)</w:t>
      </w:r>
    </w:p>
    <w:p w14:paraId="05EFB280" w14:textId="06B5CD1F" w:rsidR="00715555" w:rsidRDefault="00715555" w:rsidP="00715555">
      <w:pPr>
        <w:pStyle w:val="Listaszerbekezds"/>
        <w:numPr>
          <w:ilvl w:val="0"/>
          <w:numId w:val="14"/>
        </w:numPr>
      </w:pPr>
      <w:proofErr w:type="gramStart"/>
      <w:r>
        <w:t>participation</w:t>
      </w:r>
      <w:proofErr w:type="gramEnd"/>
      <w:r>
        <w:t xml:space="preserve"> in class discussion (10%)</w:t>
      </w:r>
    </w:p>
    <w:p w14:paraId="579F7E1D" w14:textId="38C33A63" w:rsidR="00715555" w:rsidRDefault="00715555" w:rsidP="00715555">
      <w:pPr>
        <w:pStyle w:val="Listaszerbekezds"/>
        <w:numPr>
          <w:ilvl w:val="0"/>
          <w:numId w:val="14"/>
        </w:numPr>
      </w:pPr>
      <w:proofErr w:type="gramStart"/>
      <w:r>
        <w:t>student</w:t>
      </w:r>
      <w:proofErr w:type="gramEnd"/>
      <w:r>
        <w:t xml:space="preserve"> presentation (10%)</w:t>
      </w:r>
    </w:p>
    <w:p w14:paraId="1CB5FF6B" w14:textId="4C22B437" w:rsidR="00715555" w:rsidRDefault="00715555" w:rsidP="00715555">
      <w:pPr>
        <w:pStyle w:val="Listaszerbekezds"/>
        <w:numPr>
          <w:ilvl w:val="0"/>
          <w:numId w:val="14"/>
        </w:numPr>
      </w:pPr>
      <w:r>
        <w:t>5-page long essay (20%)</w:t>
      </w:r>
    </w:p>
    <w:p w14:paraId="707A5FB5" w14:textId="2DAD6552" w:rsidR="00715555" w:rsidRPr="00715555" w:rsidRDefault="00715555" w:rsidP="00715555">
      <w:pPr>
        <w:pStyle w:val="Listaszerbekezds"/>
        <w:numPr>
          <w:ilvl w:val="0"/>
          <w:numId w:val="14"/>
        </w:numPr>
      </w:pPr>
      <w:proofErr w:type="gramStart"/>
      <w:r>
        <w:t>in-class</w:t>
      </w:r>
      <w:proofErr w:type="gramEnd"/>
      <w:r>
        <w:t xml:space="preserve"> written exam (25%)</w:t>
      </w:r>
    </w:p>
    <w:sectPr w:rsidR="00715555" w:rsidRPr="00715555" w:rsidSect="00BC3C87">
      <w:headerReference w:type="default" r:id="rId16"/>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AFEE8" w14:textId="77777777" w:rsidR="00EC49B4" w:rsidRDefault="00EC49B4" w:rsidP="006A3E9F">
      <w:r>
        <w:separator/>
      </w:r>
    </w:p>
  </w:endnote>
  <w:endnote w:type="continuationSeparator" w:id="0">
    <w:p w14:paraId="200B3673" w14:textId="77777777" w:rsidR="00EC49B4" w:rsidRDefault="00EC49B4" w:rsidP="006A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35506" w14:textId="77777777" w:rsidR="00EC49B4" w:rsidRDefault="00EC49B4" w:rsidP="006A3E9F">
      <w:r>
        <w:separator/>
      </w:r>
    </w:p>
  </w:footnote>
  <w:footnote w:type="continuationSeparator" w:id="0">
    <w:p w14:paraId="1AB7D359" w14:textId="77777777" w:rsidR="00EC49B4" w:rsidRDefault="00EC49B4" w:rsidP="006A3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48A97" w14:textId="77777777" w:rsidR="00522BB4" w:rsidRDefault="00522BB4">
    <w:pPr>
      <w:pStyle w:val="lfej"/>
    </w:pPr>
    <w:r>
      <w:rPr>
        <w:noProof/>
        <w:lang w:val="hu-HU" w:eastAsia="hu-HU"/>
      </w:rPr>
      <w:drawing>
        <wp:anchor distT="0" distB="0" distL="114300" distR="114300" simplePos="0" relativeHeight="251659264" behindDoc="1" locked="0" layoutInCell="1" allowOverlap="1" wp14:anchorId="7C50051F" wp14:editId="24E15E30">
          <wp:simplePos x="0" y="0"/>
          <wp:positionH relativeFrom="column">
            <wp:posOffset>-585470</wp:posOffset>
          </wp:positionH>
          <wp:positionV relativeFrom="paragraph">
            <wp:posOffset>112395</wp:posOffset>
          </wp:positionV>
          <wp:extent cx="3124200" cy="847725"/>
          <wp:effectExtent l="19050" t="0" r="0" b="0"/>
          <wp:wrapNone/>
          <wp:docPr id="5" name="Kép 5"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64ED"/>
    <w:multiLevelType w:val="hybridMultilevel"/>
    <w:tmpl w:val="45B8037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DE2FEB"/>
    <w:multiLevelType w:val="hybridMultilevel"/>
    <w:tmpl w:val="778803DA"/>
    <w:lvl w:ilvl="0" w:tplc="C7E637F0">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D54D18"/>
    <w:multiLevelType w:val="hybridMultilevel"/>
    <w:tmpl w:val="AA6EC112"/>
    <w:lvl w:ilvl="0" w:tplc="65E8D64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916A0C"/>
    <w:multiLevelType w:val="hybridMultilevel"/>
    <w:tmpl w:val="1C2C2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32A366CE"/>
    <w:multiLevelType w:val="hybridMultilevel"/>
    <w:tmpl w:val="8668C162"/>
    <w:lvl w:ilvl="0" w:tplc="65E8D64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7B2186"/>
    <w:multiLevelType w:val="hybridMultilevel"/>
    <w:tmpl w:val="68423BF4"/>
    <w:lvl w:ilvl="0" w:tplc="258AA70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AA6BEB"/>
    <w:multiLevelType w:val="hybridMultilevel"/>
    <w:tmpl w:val="D43E043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4E170C4D"/>
    <w:multiLevelType w:val="hybridMultilevel"/>
    <w:tmpl w:val="1998268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B84E40"/>
    <w:multiLevelType w:val="hybridMultilevel"/>
    <w:tmpl w:val="4BEC28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04476E"/>
    <w:multiLevelType w:val="hybridMultilevel"/>
    <w:tmpl w:val="35F8CCB8"/>
    <w:lvl w:ilvl="0" w:tplc="040E0011">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9"/>
  </w:num>
  <w:num w:numId="6">
    <w:abstractNumId w:val="12"/>
  </w:num>
  <w:num w:numId="7">
    <w:abstractNumId w:val="4"/>
  </w:num>
  <w:num w:numId="8">
    <w:abstractNumId w:val="7"/>
  </w:num>
  <w:num w:numId="9">
    <w:abstractNumId w:val="8"/>
  </w:num>
  <w:num w:numId="10">
    <w:abstractNumId w:val="3"/>
  </w:num>
  <w:num w:numId="11">
    <w:abstractNumId w:val="10"/>
  </w:num>
  <w:num w:numId="12">
    <w:abstractNumId w:val="0"/>
  </w:num>
  <w:num w:numId="13">
    <w:abstractNumId w:val="1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05EB"/>
    <w:rsid w:val="00031F56"/>
    <w:rsid w:val="00034246"/>
    <w:rsid w:val="0008349D"/>
    <w:rsid w:val="000D0895"/>
    <w:rsid w:val="000E6630"/>
    <w:rsid w:val="000F2D73"/>
    <w:rsid w:val="000F6305"/>
    <w:rsid w:val="001121DF"/>
    <w:rsid w:val="00122B14"/>
    <w:rsid w:val="001241F1"/>
    <w:rsid w:val="00154A91"/>
    <w:rsid w:val="001A1248"/>
    <w:rsid w:val="00214377"/>
    <w:rsid w:val="00275162"/>
    <w:rsid w:val="002A7467"/>
    <w:rsid w:val="002C4B7F"/>
    <w:rsid w:val="002D4CE3"/>
    <w:rsid w:val="002F4EDE"/>
    <w:rsid w:val="002F6467"/>
    <w:rsid w:val="00311615"/>
    <w:rsid w:val="00347A6B"/>
    <w:rsid w:val="00375825"/>
    <w:rsid w:val="003D6FD0"/>
    <w:rsid w:val="003F1018"/>
    <w:rsid w:val="004433C7"/>
    <w:rsid w:val="004459A6"/>
    <w:rsid w:val="00462CEF"/>
    <w:rsid w:val="004C71B7"/>
    <w:rsid w:val="004E18B0"/>
    <w:rsid w:val="00522BB4"/>
    <w:rsid w:val="00536CC3"/>
    <w:rsid w:val="00556081"/>
    <w:rsid w:val="00575FBE"/>
    <w:rsid w:val="0058590D"/>
    <w:rsid w:val="005A64D8"/>
    <w:rsid w:val="005E7AC1"/>
    <w:rsid w:val="0063002E"/>
    <w:rsid w:val="006A370D"/>
    <w:rsid w:val="006A3E9F"/>
    <w:rsid w:val="006B41A4"/>
    <w:rsid w:val="0070193A"/>
    <w:rsid w:val="00715555"/>
    <w:rsid w:val="007258B7"/>
    <w:rsid w:val="007315B0"/>
    <w:rsid w:val="007317AD"/>
    <w:rsid w:val="007376E2"/>
    <w:rsid w:val="00754EF6"/>
    <w:rsid w:val="00776EF1"/>
    <w:rsid w:val="00791C7E"/>
    <w:rsid w:val="007C3D62"/>
    <w:rsid w:val="00841C99"/>
    <w:rsid w:val="008B251A"/>
    <w:rsid w:val="008C6F6E"/>
    <w:rsid w:val="008E334E"/>
    <w:rsid w:val="00907F12"/>
    <w:rsid w:val="00916C41"/>
    <w:rsid w:val="0093128C"/>
    <w:rsid w:val="00957CD4"/>
    <w:rsid w:val="009B6097"/>
    <w:rsid w:val="009B65B1"/>
    <w:rsid w:val="009C70A4"/>
    <w:rsid w:val="009D55E0"/>
    <w:rsid w:val="00A34386"/>
    <w:rsid w:val="00A40DF6"/>
    <w:rsid w:val="00A66710"/>
    <w:rsid w:val="00A720E0"/>
    <w:rsid w:val="00AE270C"/>
    <w:rsid w:val="00B1106A"/>
    <w:rsid w:val="00B849DD"/>
    <w:rsid w:val="00B9260F"/>
    <w:rsid w:val="00BA74D4"/>
    <w:rsid w:val="00BB7FF9"/>
    <w:rsid w:val="00BC3C87"/>
    <w:rsid w:val="00BF23E1"/>
    <w:rsid w:val="00C0178E"/>
    <w:rsid w:val="00C17BC8"/>
    <w:rsid w:val="00C6762B"/>
    <w:rsid w:val="00C8090E"/>
    <w:rsid w:val="00C94228"/>
    <w:rsid w:val="00CB21D9"/>
    <w:rsid w:val="00CB57FC"/>
    <w:rsid w:val="00CF4A2A"/>
    <w:rsid w:val="00DA3812"/>
    <w:rsid w:val="00DB43B2"/>
    <w:rsid w:val="00DE27B2"/>
    <w:rsid w:val="00DF137E"/>
    <w:rsid w:val="00E0037E"/>
    <w:rsid w:val="00E10FA2"/>
    <w:rsid w:val="00E50966"/>
    <w:rsid w:val="00E57DFB"/>
    <w:rsid w:val="00E6378B"/>
    <w:rsid w:val="00EC49B4"/>
    <w:rsid w:val="00EF3AE2"/>
    <w:rsid w:val="00F06A68"/>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72EE0"/>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6378B"/>
    <w:pPr>
      <w:spacing w:after="0" w:line="240" w:lineRule="auto"/>
    </w:pPr>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character" w:styleId="Jegyzethivatkozs">
    <w:name w:val="annotation reference"/>
    <w:basedOn w:val="Bekezdsalapbettpusa"/>
    <w:uiPriority w:val="99"/>
    <w:semiHidden/>
    <w:unhideWhenUsed/>
    <w:rsid w:val="00536CC3"/>
    <w:rPr>
      <w:sz w:val="16"/>
      <w:szCs w:val="16"/>
    </w:rPr>
  </w:style>
  <w:style w:type="paragraph" w:styleId="Jegyzetszveg">
    <w:name w:val="annotation text"/>
    <w:basedOn w:val="Norml"/>
    <w:link w:val="JegyzetszvegChar"/>
    <w:uiPriority w:val="99"/>
    <w:semiHidden/>
    <w:unhideWhenUsed/>
    <w:rsid w:val="00536CC3"/>
    <w:rPr>
      <w:sz w:val="20"/>
      <w:szCs w:val="20"/>
    </w:rPr>
  </w:style>
  <w:style w:type="character" w:customStyle="1" w:styleId="JegyzetszvegChar">
    <w:name w:val="Jegyzetszöveg Char"/>
    <w:basedOn w:val="Bekezdsalapbettpusa"/>
    <w:link w:val="Jegyzetszveg"/>
    <w:uiPriority w:val="99"/>
    <w:semiHidden/>
    <w:rsid w:val="00536CC3"/>
    <w:rPr>
      <w:rFonts w:ascii="Times New Roman" w:eastAsia="Times New Roman" w:hAnsi="Times New Roman" w:cs="Times New Roman"/>
      <w:sz w:val="20"/>
      <w:szCs w:val="20"/>
      <w:lang w:val="en-US"/>
    </w:rPr>
  </w:style>
  <w:style w:type="paragraph" w:styleId="Megjegyzstrgya">
    <w:name w:val="annotation subject"/>
    <w:basedOn w:val="Jegyzetszveg"/>
    <w:next w:val="Jegyzetszveg"/>
    <w:link w:val="MegjegyzstrgyaChar"/>
    <w:uiPriority w:val="99"/>
    <w:semiHidden/>
    <w:unhideWhenUsed/>
    <w:rsid w:val="00536CC3"/>
    <w:rPr>
      <w:b/>
      <w:bCs/>
    </w:rPr>
  </w:style>
  <w:style w:type="character" w:customStyle="1" w:styleId="MegjegyzstrgyaChar">
    <w:name w:val="Megjegyzés tárgya Char"/>
    <w:basedOn w:val="JegyzetszvegChar"/>
    <w:link w:val="Megjegyzstrgya"/>
    <w:uiPriority w:val="99"/>
    <w:semiHidden/>
    <w:rsid w:val="00536CC3"/>
    <w:rPr>
      <w:rFonts w:ascii="Times New Roman" w:eastAsia="Times New Roman" w:hAnsi="Times New Roman" w:cs="Times New Roman"/>
      <w:b/>
      <w:bCs/>
      <w:sz w:val="20"/>
      <w:szCs w:val="20"/>
      <w:lang w:val="en-US"/>
    </w:rPr>
  </w:style>
  <w:style w:type="paragraph" w:styleId="Buborkszveg">
    <w:name w:val="Balloon Text"/>
    <w:basedOn w:val="Norml"/>
    <w:link w:val="BuborkszvegChar"/>
    <w:uiPriority w:val="99"/>
    <w:semiHidden/>
    <w:unhideWhenUsed/>
    <w:rsid w:val="00536CC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36CC3"/>
    <w:rPr>
      <w:rFonts w:ascii="Segoe UI" w:eastAsia="Times New Roman" w:hAnsi="Segoe UI" w:cs="Segoe UI"/>
      <w:sz w:val="18"/>
      <w:szCs w:val="18"/>
      <w:lang w:val="en-US"/>
    </w:rPr>
  </w:style>
  <w:style w:type="table" w:customStyle="1" w:styleId="Rcsostblzat1">
    <w:name w:val="Rácsos táblázat1"/>
    <w:basedOn w:val="Normltblzat"/>
    <w:next w:val="Rcsostblzat"/>
    <w:uiPriority w:val="39"/>
    <w:rsid w:val="00715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715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4977">
      <w:bodyDiv w:val="1"/>
      <w:marLeft w:val="0"/>
      <w:marRight w:val="0"/>
      <w:marTop w:val="0"/>
      <w:marBottom w:val="0"/>
      <w:divBdr>
        <w:top w:val="none" w:sz="0" w:space="0" w:color="auto"/>
        <w:left w:val="none" w:sz="0" w:space="0" w:color="auto"/>
        <w:bottom w:val="none" w:sz="0" w:space="0" w:color="auto"/>
        <w:right w:val="none" w:sz="0" w:space="0" w:color="auto"/>
      </w:divBdr>
      <w:divsChild>
        <w:div w:id="826477402">
          <w:marLeft w:val="0"/>
          <w:marRight w:val="0"/>
          <w:marTop w:val="0"/>
          <w:marBottom w:val="0"/>
          <w:divBdr>
            <w:top w:val="none" w:sz="0" w:space="0" w:color="auto"/>
            <w:left w:val="none" w:sz="0" w:space="0" w:color="auto"/>
            <w:bottom w:val="none" w:sz="0" w:space="0" w:color="auto"/>
            <w:right w:val="none" w:sz="0" w:space="0" w:color="auto"/>
          </w:divBdr>
          <w:divsChild>
            <w:div w:id="473763986">
              <w:marLeft w:val="-225"/>
              <w:marRight w:val="-225"/>
              <w:marTop w:val="0"/>
              <w:marBottom w:val="0"/>
              <w:divBdr>
                <w:top w:val="none" w:sz="0" w:space="0" w:color="auto"/>
                <w:left w:val="none" w:sz="0" w:space="0" w:color="auto"/>
                <w:bottom w:val="none" w:sz="0" w:space="0" w:color="auto"/>
                <w:right w:val="none" w:sz="0" w:space="0" w:color="auto"/>
              </w:divBdr>
              <w:divsChild>
                <w:div w:id="2028829405">
                  <w:marLeft w:val="0"/>
                  <w:marRight w:val="0"/>
                  <w:marTop w:val="0"/>
                  <w:marBottom w:val="0"/>
                  <w:divBdr>
                    <w:top w:val="none" w:sz="0" w:space="0" w:color="auto"/>
                    <w:left w:val="none" w:sz="0" w:space="0" w:color="auto"/>
                    <w:bottom w:val="none" w:sz="0" w:space="0" w:color="auto"/>
                    <w:right w:val="none" w:sz="0" w:space="0" w:color="auto"/>
                  </w:divBdr>
                  <w:divsChild>
                    <w:div w:id="1581213162">
                      <w:marLeft w:val="0"/>
                      <w:marRight w:val="0"/>
                      <w:marTop w:val="0"/>
                      <w:marBottom w:val="0"/>
                      <w:divBdr>
                        <w:top w:val="none" w:sz="0" w:space="0" w:color="auto"/>
                        <w:left w:val="none" w:sz="0" w:space="0" w:color="auto"/>
                        <w:bottom w:val="none" w:sz="0" w:space="0" w:color="auto"/>
                        <w:right w:val="none" w:sz="0" w:space="0" w:color="auto"/>
                      </w:divBdr>
                      <w:divsChild>
                        <w:div w:id="1782724234">
                          <w:marLeft w:val="0"/>
                          <w:marRight w:val="0"/>
                          <w:marTop w:val="0"/>
                          <w:marBottom w:val="0"/>
                          <w:divBdr>
                            <w:top w:val="none" w:sz="0" w:space="0" w:color="auto"/>
                            <w:left w:val="none" w:sz="0" w:space="0" w:color="auto"/>
                            <w:bottom w:val="none" w:sz="0" w:space="0" w:color="auto"/>
                            <w:right w:val="none" w:sz="0" w:space="0" w:color="auto"/>
                          </w:divBdr>
                          <w:divsChild>
                            <w:div w:id="466510677">
                              <w:marLeft w:val="0"/>
                              <w:marRight w:val="0"/>
                              <w:marTop w:val="0"/>
                              <w:marBottom w:val="0"/>
                              <w:divBdr>
                                <w:top w:val="none" w:sz="0" w:space="0" w:color="auto"/>
                                <w:left w:val="none" w:sz="0" w:space="0" w:color="auto"/>
                                <w:bottom w:val="none" w:sz="0" w:space="0" w:color="auto"/>
                                <w:right w:val="none" w:sz="0" w:space="0" w:color="auto"/>
                              </w:divBdr>
                              <w:divsChild>
                                <w:div w:id="409083403">
                                  <w:marLeft w:val="0"/>
                                  <w:marRight w:val="0"/>
                                  <w:marTop w:val="0"/>
                                  <w:marBottom w:val="0"/>
                                  <w:divBdr>
                                    <w:top w:val="none" w:sz="0" w:space="0" w:color="auto"/>
                                    <w:left w:val="none" w:sz="0" w:space="0" w:color="auto"/>
                                    <w:bottom w:val="none" w:sz="0" w:space="0" w:color="auto"/>
                                    <w:right w:val="none" w:sz="0" w:space="0" w:color="auto"/>
                                  </w:divBdr>
                                  <w:divsChild>
                                    <w:div w:id="1021660800">
                                      <w:marLeft w:val="0"/>
                                      <w:marRight w:val="0"/>
                                      <w:marTop w:val="0"/>
                                      <w:marBottom w:val="0"/>
                                      <w:divBdr>
                                        <w:top w:val="none" w:sz="0" w:space="0" w:color="auto"/>
                                        <w:left w:val="none" w:sz="0" w:space="0" w:color="auto"/>
                                        <w:bottom w:val="none" w:sz="0" w:space="0" w:color="auto"/>
                                        <w:right w:val="none" w:sz="0" w:space="0" w:color="auto"/>
                                      </w:divBdr>
                                      <w:divsChild>
                                        <w:div w:id="960113695">
                                          <w:marLeft w:val="0"/>
                                          <w:marRight w:val="0"/>
                                          <w:marTop w:val="0"/>
                                          <w:marBottom w:val="0"/>
                                          <w:divBdr>
                                            <w:top w:val="none" w:sz="0" w:space="0" w:color="auto"/>
                                            <w:left w:val="none" w:sz="0" w:space="0" w:color="auto"/>
                                            <w:bottom w:val="none" w:sz="0" w:space="0" w:color="auto"/>
                                            <w:right w:val="none" w:sz="0" w:space="0" w:color="auto"/>
                                          </w:divBdr>
                                          <w:divsChild>
                                            <w:div w:id="1392775387">
                                              <w:marLeft w:val="0"/>
                                              <w:marRight w:val="0"/>
                                              <w:marTop w:val="0"/>
                                              <w:marBottom w:val="0"/>
                                              <w:divBdr>
                                                <w:top w:val="none" w:sz="0" w:space="0" w:color="auto"/>
                                                <w:left w:val="none" w:sz="0" w:space="0" w:color="auto"/>
                                                <w:bottom w:val="none" w:sz="0" w:space="0" w:color="auto"/>
                                                <w:right w:val="none" w:sz="0" w:space="0" w:color="auto"/>
                                              </w:divBdr>
                                              <w:divsChild>
                                                <w:div w:id="893470157">
                                                  <w:marLeft w:val="0"/>
                                                  <w:marRight w:val="0"/>
                                                  <w:marTop w:val="0"/>
                                                  <w:marBottom w:val="0"/>
                                                  <w:divBdr>
                                                    <w:top w:val="none" w:sz="0" w:space="0" w:color="auto"/>
                                                    <w:left w:val="none" w:sz="0" w:space="0" w:color="auto"/>
                                                    <w:bottom w:val="none" w:sz="0" w:space="0" w:color="auto"/>
                                                    <w:right w:val="none" w:sz="0" w:space="0" w:color="auto"/>
                                                  </w:divBdr>
                                                  <w:divsChild>
                                                    <w:div w:id="1079251190">
                                                      <w:marLeft w:val="0"/>
                                                      <w:marRight w:val="0"/>
                                                      <w:marTop w:val="0"/>
                                                      <w:marBottom w:val="0"/>
                                                      <w:divBdr>
                                                        <w:top w:val="none" w:sz="0" w:space="0" w:color="auto"/>
                                                        <w:left w:val="none" w:sz="0" w:space="0" w:color="auto"/>
                                                        <w:bottom w:val="none" w:sz="0" w:space="0" w:color="auto"/>
                                                        <w:right w:val="none" w:sz="0" w:space="0" w:color="auto"/>
                                                      </w:divBdr>
                                                      <w:divsChild>
                                                        <w:div w:id="8423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5379">
                                                  <w:marLeft w:val="0"/>
                                                  <w:marRight w:val="0"/>
                                                  <w:marTop w:val="0"/>
                                                  <w:marBottom w:val="0"/>
                                                  <w:divBdr>
                                                    <w:top w:val="none" w:sz="0" w:space="0" w:color="auto"/>
                                                    <w:left w:val="none" w:sz="0" w:space="0" w:color="auto"/>
                                                    <w:bottom w:val="none" w:sz="0" w:space="0" w:color="auto"/>
                                                    <w:right w:val="none" w:sz="0" w:space="0" w:color="auto"/>
                                                  </w:divBdr>
                                                  <w:divsChild>
                                                    <w:div w:id="1643608788">
                                                      <w:marLeft w:val="0"/>
                                                      <w:marRight w:val="0"/>
                                                      <w:marTop w:val="0"/>
                                                      <w:marBottom w:val="0"/>
                                                      <w:divBdr>
                                                        <w:top w:val="none" w:sz="0" w:space="0" w:color="auto"/>
                                                        <w:left w:val="none" w:sz="0" w:space="0" w:color="auto"/>
                                                        <w:bottom w:val="none" w:sz="0" w:space="0" w:color="auto"/>
                                                        <w:right w:val="none" w:sz="0" w:space="0" w:color="auto"/>
                                                      </w:divBdr>
                                                      <w:divsChild>
                                                        <w:div w:id="4335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4456498">
      <w:bodyDiv w:val="1"/>
      <w:marLeft w:val="0"/>
      <w:marRight w:val="0"/>
      <w:marTop w:val="0"/>
      <w:marBottom w:val="0"/>
      <w:divBdr>
        <w:top w:val="none" w:sz="0" w:space="0" w:color="auto"/>
        <w:left w:val="none" w:sz="0" w:space="0" w:color="auto"/>
        <w:bottom w:val="none" w:sz="0" w:space="0" w:color="auto"/>
        <w:right w:val="none" w:sz="0" w:space="0" w:color="auto"/>
      </w:divBdr>
    </w:div>
    <w:div w:id="1427115335">
      <w:bodyDiv w:val="1"/>
      <w:marLeft w:val="0"/>
      <w:marRight w:val="0"/>
      <w:marTop w:val="0"/>
      <w:marBottom w:val="0"/>
      <w:divBdr>
        <w:top w:val="none" w:sz="0" w:space="0" w:color="auto"/>
        <w:left w:val="none" w:sz="0" w:space="0" w:color="auto"/>
        <w:bottom w:val="none" w:sz="0" w:space="0" w:color="auto"/>
        <w:right w:val="none" w:sz="0" w:space="0" w:color="auto"/>
      </w:divBdr>
    </w:div>
    <w:div w:id="16473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ga.andras.8802@gmail.com" TargetMode="External"/><Relationship Id="rId13" Type="http://schemas.openxmlformats.org/officeDocument/2006/relationships/hyperlink" Target="http://www.dokumenty-iir.cz/CZP/2017%20%282015%20EN%29/Kapitola%206%20V4%20a%20Rakousko.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segradgroup.eu/documents/other-articles/key-findings25-years-of-16060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egradgroup.eu/the-visegrad-book/visegradbook" TargetMode="External"/><Relationship Id="rId5" Type="http://schemas.openxmlformats.org/officeDocument/2006/relationships/webSettings" Target="webSettings.xml"/><Relationship Id="rId15" Type="http://schemas.openxmlformats.org/officeDocument/2006/relationships/hyperlink" Target="https://obamawhitehouse.archives.gov/the-press-office/remarks-vice-president-biden-america-central-europe-and-a-partnership-21st-century" TargetMode="External"/><Relationship Id="rId10" Type="http://schemas.openxmlformats.org/officeDocument/2006/relationships/hyperlink" Target="http://www.visegradgroup.eu/the-visegrad-book/visegradbook" TargetMode="External"/><Relationship Id="rId4" Type="http://schemas.openxmlformats.org/officeDocument/2006/relationships/settings" Target="settings.xml"/><Relationship Id="rId9" Type="http://schemas.openxmlformats.org/officeDocument/2006/relationships/hyperlink" Target="http://www.visegradgroup.eu/the-visegrad-book/visegradbook" TargetMode="External"/><Relationship Id="rId14" Type="http://schemas.openxmlformats.org/officeDocument/2006/relationships/hyperlink" Target="https://www.uni-nke.hu/document/uni-nke-hu/AARMS_2017_0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4B333-46F1-44C9-BE36-DB6C03BE4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6664</Characters>
  <Application>Microsoft Office Word</Application>
  <DocSecurity>0</DocSecurity>
  <Lines>55</Lines>
  <Paragraphs>15</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
      <vt:lpstr/>
    </vt:vector>
  </TitlesOfParts>
  <Company>ELTE ÁJK</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2</cp:revision>
  <dcterms:created xsi:type="dcterms:W3CDTF">2020-11-19T12:55:00Z</dcterms:created>
  <dcterms:modified xsi:type="dcterms:W3CDTF">2020-11-19T12:55:00Z</dcterms:modified>
</cp:coreProperties>
</file>