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5F83" w14:textId="77777777" w:rsidR="005C5DCB" w:rsidRDefault="005C5DCB" w:rsidP="007F6EB4">
      <w:pPr>
        <w:rPr>
          <w:rFonts w:ascii="Times New Roman" w:hAnsi="Times New Roman" w:cs="Times New Roman"/>
          <w:b/>
          <w:sz w:val="24"/>
          <w:szCs w:val="24"/>
          <w:lang w:val="en-GB"/>
        </w:rPr>
      </w:pPr>
      <w:bookmarkStart w:id="0" w:name="_GoBack"/>
      <w:bookmarkEnd w:id="0"/>
    </w:p>
    <w:p w14:paraId="74A55F84" w14:textId="77777777" w:rsidR="005C5DCB" w:rsidRDefault="005C5DCB" w:rsidP="007F6EB4">
      <w:pPr>
        <w:rPr>
          <w:rFonts w:ascii="Times New Roman" w:hAnsi="Times New Roman" w:cs="Times New Roman"/>
          <w:b/>
          <w:sz w:val="24"/>
          <w:szCs w:val="24"/>
          <w:lang w:val="en-GB"/>
        </w:rPr>
      </w:pPr>
    </w:p>
    <w:p w14:paraId="74A55F85" w14:textId="77777777" w:rsidR="005C5DCB" w:rsidRDefault="005C5DCB" w:rsidP="007F6EB4">
      <w:pPr>
        <w:rPr>
          <w:rFonts w:ascii="Times New Roman" w:hAnsi="Times New Roman" w:cs="Times New Roman"/>
          <w:b/>
          <w:sz w:val="24"/>
          <w:szCs w:val="24"/>
          <w:lang w:val="en-GB"/>
        </w:rPr>
      </w:pPr>
    </w:p>
    <w:p w14:paraId="74A55F86" w14:textId="12F4E66F" w:rsidR="007F6EB4" w:rsidRPr="00C55C3F" w:rsidRDefault="00937580" w:rsidP="00C55C3F">
      <w:pPr>
        <w:jc w:val="center"/>
        <w:rPr>
          <w:rFonts w:ascii="Times New Roman" w:hAnsi="Times New Roman" w:cs="Times New Roman"/>
          <w:b/>
          <w:sz w:val="28"/>
          <w:szCs w:val="28"/>
          <w:u w:val="single"/>
          <w:lang w:val="de-DE"/>
        </w:rPr>
      </w:pPr>
      <w:r w:rsidRPr="00C55C3F">
        <w:rPr>
          <w:rFonts w:ascii="Times New Roman" w:hAnsi="Times New Roman" w:cs="Times New Roman"/>
          <w:b/>
          <w:sz w:val="28"/>
          <w:szCs w:val="28"/>
          <w:u w:val="single"/>
          <w:lang w:val="de-DE"/>
        </w:rPr>
        <w:t xml:space="preserve">Europäisches </w:t>
      </w:r>
      <w:r w:rsidR="00B7714D" w:rsidRPr="00C55C3F">
        <w:rPr>
          <w:rFonts w:ascii="Times New Roman" w:hAnsi="Times New Roman" w:cs="Times New Roman"/>
          <w:b/>
          <w:sz w:val="28"/>
          <w:szCs w:val="28"/>
          <w:u w:val="single"/>
          <w:lang w:val="de-DE"/>
        </w:rPr>
        <w:t>Arbeitsrecht</w:t>
      </w:r>
    </w:p>
    <w:p w14:paraId="74A55F8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74A55F89" w14:textId="3C2B0B88" w:rsidR="007F6EB4"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hyperlink r:id="rId7" w:history="1">
        <w:r w:rsidR="00C55C3F" w:rsidRPr="00482D92">
          <w:rPr>
            <w:rStyle w:val="Hiperhivatkozs"/>
            <w:rFonts w:ascii="Times New Roman" w:hAnsi="Times New Roman" w:cs="Times New Roman"/>
            <w:lang w:val="de-DE"/>
          </w:rPr>
          <w:t>eggert.daad@gmail.com</w:t>
        </w:r>
      </w:hyperlink>
      <w:r w:rsidR="00937580">
        <w:rPr>
          <w:rFonts w:ascii="Times New Roman" w:hAnsi="Times New Roman" w:cs="Times New Roman"/>
          <w:lang w:val="de-DE"/>
        </w:rPr>
        <w:t xml:space="preserve"> /</w:t>
      </w:r>
      <w:r w:rsidR="00937580" w:rsidRPr="00D04201">
        <w:rPr>
          <w:rFonts w:ascii="Times New Roman" w:hAnsi="Times New Roman" w:cs="Times New Roman"/>
          <w:lang w:val="de-DE"/>
        </w:rPr>
        <w:t xml:space="preserve"> </w:t>
      </w:r>
      <w:hyperlink r:id="rId8" w:history="1">
        <w:r w:rsidR="00C55C3F" w:rsidRPr="00482D92">
          <w:rPr>
            <w:rStyle w:val="Hiperhivatkozs"/>
            <w:rFonts w:ascii="Times New Roman" w:hAnsi="Times New Roman" w:cs="Times New Roman"/>
            <w:lang w:val="de-DE"/>
          </w:rPr>
          <w:t>Eggert.Erik@ajk.elte.hu</w:t>
        </w:r>
      </w:hyperlink>
    </w:p>
    <w:p w14:paraId="74A55F8A" w14:textId="77777777" w:rsidR="001C60F5" w:rsidRDefault="001C60F5" w:rsidP="007F6EB4">
      <w:pPr>
        <w:jc w:val="both"/>
        <w:rPr>
          <w:rFonts w:ascii="Times New Roman" w:hAnsi="Times New Roman" w:cs="Times New Roman"/>
          <w:sz w:val="24"/>
          <w:szCs w:val="24"/>
          <w:lang w:val="de-DE"/>
        </w:rPr>
      </w:pPr>
    </w:p>
    <w:p w14:paraId="757C4EF1" w14:textId="562200FF" w:rsidR="00937580" w:rsidRDefault="00937580"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Die</w:t>
      </w:r>
      <w:r w:rsidR="001256AF" w:rsidRPr="00D547CC">
        <w:rPr>
          <w:rFonts w:ascii="Times New Roman" w:hAnsi="Times New Roman" w:cs="Times New Roman"/>
          <w:sz w:val="24"/>
          <w:szCs w:val="24"/>
          <w:lang w:val="de-DE"/>
        </w:rPr>
        <w:t xml:space="preserve"> </w:t>
      </w:r>
      <w:r>
        <w:rPr>
          <w:rFonts w:ascii="Times New Roman" w:hAnsi="Times New Roman" w:cs="Times New Roman"/>
          <w:sz w:val="24"/>
          <w:szCs w:val="24"/>
          <w:lang w:val="de-DE"/>
        </w:rPr>
        <w:t>Vorlesung</w:t>
      </w:r>
      <w:r w:rsidR="001256AF">
        <w:rPr>
          <w:rFonts w:ascii="Times New Roman" w:hAnsi="Times New Roman" w:cs="Times New Roman"/>
          <w:sz w:val="24"/>
          <w:szCs w:val="24"/>
          <w:lang w:val="de-DE"/>
        </w:rPr>
        <w:t xml:space="preserve"> zum </w:t>
      </w:r>
      <w:r>
        <w:rPr>
          <w:rFonts w:ascii="Times New Roman" w:hAnsi="Times New Roman" w:cs="Times New Roman"/>
          <w:sz w:val="24"/>
          <w:szCs w:val="24"/>
          <w:lang w:val="de-DE"/>
        </w:rPr>
        <w:t>Europäischen</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A</w:t>
      </w:r>
      <w:r w:rsidR="001256AF">
        <w:rPr>
          <w:rFonts w:ascii="Times New Roman" w:hAnsi="Times New Roman" w:cs="Times New Roman"/>
          <w:sz w:val="24"/>
          <w:szCs w:val="24"/>
          <w:lang w:val="de-DE"/>
        </w:rPr>
        <w:t xml:space="preserve">rbeitsrecht richtet sich an Studierende der mittleren und fortgeschrittenen Semester mit Vorkenntnissen im </w:t>
      </w:r>
      <w:r>
        <w:rPr>
          <w:rFonts w:ascii="Times New Roman" w:hAnsi="Times New Roman" w:cs="Times New Roman"/>
          <w:sz w:val="24"/>
          <w:szCs w:val="24"/>
          <w:lang w:val="de-DE"/>
        </w:rPr>
        <w:t>Europarecht und Arbeitsrecht</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Studierenden </w:t>
      </w:r>
      <w:r w:rsidR="005C7511">
        <w:rPr>
          <w:rFonts w:ascii="Times New Roman" w:hAnsi="Times New Roman" w:cs="Times New Roman"/>
          <w:sz w:val="24"/>
          <w:szCs w:val="24"/>
          <w:lang w:val="de-DE"/>
        </w:rPr>
        <w:t>erhalten</w:t>
      </w:r>
      <w:r>
        <w:rPr>
          <w:rFonts w:ascii="Times New Roman" w:hAnsi="Times New Roman" w:cs="Times New Roman"/>
          <w:sz w:val="24"/>
          <w:szCs w:val="24"/>
          <w:lang w:val="de-DE"/>
        </w:rPr>
        <w:t xml:space="preserve"> </w:t>
      </w:r>
      <w:r w:rsidR="001256AF">
        <w:rPr>
          <w:rFonts w:ascii="Times New Roman" w:hAnsi="Times New Roman" w:cs="Times New Roman"/>
          <w:sz w:val="24"/>
          <w:szCs w:val="24"/>
          <w:lang w:val="de-DE"/>
        </w:rPr>
        <w:t xml:space="preserve">einen Überblick über </w:t>
      </w:r>
      <w:r>
        <w:rPr>
          <w:rFonts w:ascii="Times New Roman" w:hAnsi="Times New Roman" w:cs="Times New Roman"/>
          <w:sz w:val="24"/>
          <w:szCs w:val="24"/>
          <w:lang w:val="de-DE"/>
        </w:rPr>
        <w:t>die Grundlagen des Europäischen Arbeitsrechts</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Ausgehend von den zentralen Regelungen im Vertrag über die Arbeitsweise der Europäischen Union (AEUV) </w:t>
      </w:r>
      <w:r w:rsidR="005C7511">
        <w:rPr>
          <w:rFonts w:ascii="Times New Roman" w:hAnsi="Times New Roman" w:cs="Times New Roman"/>
          <w:sz w:val="24"/>
          <w:szCs w:val="24"/>
          <w:lang w:val="de-DE"/>
        </w:rPr>
        <w:t>wird</w:t>
      </w:r>
      <w:r w:rsidR="00B422A6">
        <w:rPr>
          <w:rFonts w:ascii="Times New Roman" w:hAnsi="Times New Roman" w:cs="Times New Roman"/>
          <w:sz w:val="24"/>
          <w:szCs w:val="24"/>
          <w:lang w:val="de-DE"/>
        </w:rPr>
        <w:t xml:space="preserve"> der Brückenschlag zwischen Europarecht und Arbeitsrecht a</w:t>
      </w:r>
      <w:r>
        <w:rPr>
          <w:rFonts w:ascii="Times New Roman" w:hAnsi="Times New Roman" w:cs="Times New Roman"/>
          <w:sz w:val="24"/>
          <w:szCs w:val="24"/>
          <w:lang w:val="de-DE"/>
        </w:rPr>
        <w:t xml:space="preserve">nhand ausgewählter Schwerpunkte der Materie </w:t>
      </w:r>
      <w:r w:rsidR="00B422A6">
        <w:rPr>
          <w:rFonts w:ascii="Times New Roman" w:hAnsi="Times New Roman" w:cs="Times New Roman"/>
          <w:sz w:val="24"/>
          <w:szCs w:val="24"/>
          <w:lang w:val="de-DE"/>
        </w:rPr>
        <w:t>und der</w:t>
      </w:r>
      <w:r>
        <w:rPr>
          <w:rFonts w:ascii="Times New Roman" w:hAnsi="Times New Roman" w:cs="Times New Roman"/>
          <w:sz w:val="24"/>
          <w:szCs w:val="24"/>
          <w:lang w:val="de-DE"/>
        </w:rPr>
        <w:t xml:space="preserve"> dazu ergangenen </w:t>
      </w:r>
      <w:r w:rsidR="00B422A6">
        <w:rPr>
          <w:rFonts w:ascii="Times New Roman" w:hAnsi="Times New Roman" w:cs="Times New Roman"/>
          <w:sz w:val="24"/>
          <w:szCs w:val="24"/>
          <w:lang w:val="de-DE"/>
        </w:rPr>
        <w:t>Rechtssetzungsakte (</w:t>
      </w:r>
      <w:r>
        <w:rPr>
          <w:rFonts w:ascii="Times New Roman" w:hAnsi="Times New Roman" w:cs="Times New Roman"/>
          <w:sz w:val="24"/>
          <w:szCs w:val="24"/>
          <w:lang w:val="de-DE"/>
        </w:rPr>
        <w:t>Verordnungen, Richtlinien</w:t>
      </w:r>
      <w:r w:rsidR="00B422A6">
        <w:rPr>
          <w:rFonts w:ascii="Times New Roman" w:hAnsi="Times New Roman" w:cs="Times New Roman"/>
          <w:sz w:val="24"/>
          <w:szCs w:val="24"/>
          <w:lang w:val="de-DE"/>
        </w:rPr>
        <w:t>) sowie der grundlegenden</w:t>
      </w:r>
      <w:r>
        <w:rPr>
          <w:rFonts w:ascii="Times New Roman" w:hAnsi="Times New Roman" w:cs="Times New Roman"/>
          <w:sz w:val="24"/>
          <w:szCs w:val="24"/>
          <w:lang w:val="de-DE"/>
        </w:rPr>
        <w:t xml:space="preserve"> Entscheidungen des Europäischen Gerichtshofs </w:t>
      </w:r>
      <w:r w:rsidR="00B422A6">
        <w:rPr>
          <w:rFonts w:ascii="Times New Roman" w:hAnsi="Times New Roman" w:cs="Times New Roman"/>
          <w:sz w:val="24"/>
          <w:szCs w:val="24"/>
          <w:lang w:val="de-DE"/>
        </w:rPr>
        <w:t>verdeutlicht</w:t>
      </w:r>
      <w:r>
        <w:rPr>
          <w:rFonts w:ascii="Times New Roman" w:hAnsi="Times New Roman" w:cs="Times New Roman"/>
          <w:sz w:val="24"/>
          <w:szCs w:val="24"/>
          <w:lang w:val="de-DE"/>
        </w:rPr>
        <w:t xml:space="preserve">. </w:t>
      </w:r>
      <w:r w:rsidR="001D3038">
        <w:rPr>
          <w:rFonts w:ascii="Times New Roman" w:hAnsi="Times New Roman" w:cs="Times New Roman"/>
          <w:sz w:val="24"/>
          <w:szCs w:val="24"/>
          <w:lang w:val="de-DE"/>
        </w:rPr>
        <w:t xml:space="preserve">Hierbei wird zum einen darauf hingewiesen, dass nationale Rechtsfragen des Arbeitsrechts vielfach nur unter Berücksichtigung europäischer Vorgaben zu lösen sind und zum anderen </w:t>
      </w:r>
      <w:r w:rsidR="00F44281">
        <w:rPr>
          <w:rFonts w:ascii="Times New Roman" w:hAnsi="Times New Roman" w:cs="Times New Roman"/>
          <w:sz w:val="24"/>
          <w:szCs w:val="24"/>
          <w:lang w:val="de-DE"/>
        </w:rPr>
        <w:t xml:space="preserve">beispielhaft erörtert, </w:t>
      </w:r>
      <w:r w:rsidR="001D3038">
        <w:rPr>
          <w:rFonts w:ascii="Times New Roman" w:hAnsi="Times New Roman" w:cs="Times New Roman"/>
          <w:sz w:val="24"/>
          <w:szCs w:val="24"/>
          <w:lang w:val="de-DE"/>
        </w:rPr>
        <w:t xml:space="preserve">wie die Lösung im Fall des </w:t>
      </w:r>
      <w:r w:rsidR="0060771F">
        <w:rPr>
          <w:rFonts w:ascii="Times New Roman" w:hAnsi="Times New Roman" w:cs="Times New Roman"/>
          <w:sz w:val="24"/>
          <w:szCs w:val="24"/>
          <w:lang w:val="de-DE"/>
        </w:rPr>
        <w:t>deutschen</w:t>
      </w:r>
      <w:r w:rsidR="001D3038">
        <w:rPr>
          <w:rFonts w:ascii="Times New Roman" w:hAnsi="Times New Roman" w:cs="Times New Roman"/>
          <w:sz w:val="24"/>
          <w:szCs w:val="24"/>
          <w:lang w:val="de-DE"/>
        </w:rPr>
        <w:t xml:space="preserve"> Arbeitsrechts erfolgen kann. </w:t>
      </w:r>
      <w:r w:rsidR="00B422A6">
        <w:rPr>
          <w:rFonts w:ascii="Times New Roman" w:hAnsi="Times New Roman" w:cs="Times New Roman"/>
          <w:sz w:val="24"/>
          <w:szCs w:val="24"/>
          <w:lang w:val="de-DE"/>
        </w:rPr>
        <w:t>Außerdem werden a</w:t>
      </w:r>
      <w:r>
        <w:rPr>
          <w:rFonts w:ascii="Times New Roman" w:hAnsi="Times New Roman" w:cs="Times New Roman"/>
          <w:sz w:val="24"/>
          <w:szCs w:val="24"/>
          <w:lang w:val="de-DE"/>
        </w:rPr>
        <w:t xml:space="preserve">ktuelle Diskussions- und Entwicklungsfelder </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beispielsweise im</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Entsenderecht – </w:t>
      </w:r>
      <w:r w:rsidR="001D3038">
        <w:rPr>
          <w:rFonts w:ascii="Times New Roman" w:hAnsi="Times New Roman" w:cs="Times New Roman"/>
          <w:sz w:val="24"/>
          <w:szCs w:val="24"/>
          <w:lang w:val="de-DE"/>
        </w:rPr>
        <w:t xml:space="preserve">besprochen und dabei insbesondere auf die </w:t>
      </w:r>
      <w:r w:rsidR="00F44281">
        <w:rPr>
          <w:rFonts w:ascii="Times New Roman" w:hAnsi="Times New Roman" w:cs="Times New Roman"/>
          <w:sz w:val="24"/>
          <w:szCs w:val="24"/>
          <w:lang w:val="de-DE"/>
        </w:rPr>
        <w:t>Prozesse und Handlungsoptionen im Rahmen</w:t>
      </w:r>
      <w:r w:rsidR="001D3038">
        <w:rPr>
          <w:rFonts w:ascii="Times New Roman" w:hAnsi="Times New Roman" w:cs="Times New Roman"/>
          <w:sz w:val="24"/>
          <w:szCs w:val="24"/>
          <w:lang w:val="de-DE"/>
        </w:rPr>
        <w:t xml:space="preserve"> des </w:t>
      </w:r>
      <w:r w:rsidR="00F44281">
        <w:rPr>
          <w:rFonts w:ascii="Times New Roman" w:hAnsi="Times New Roman" w:cs="Times New Roman"/>
          <w:sz w:val="24"/>
          <w:szCs w:val="24"/>
          <w:lang w:val="de-DE"/>
        </w:rPr>
        <w:t>europäischen Rechtssetzungsverfahrens eingegangen.</w:t>
      </w:r>
    </w:p>
    <w:p w14:paraId="5127B3AF" w14:textId="6E0A4AA0" w:rsidR="002D41A7" w:rsidRDefault="001256AF"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beginnt mit einer </w:t>
      </w:r>
      <w:r w:rsidR="002D41A7">
        <w:rPr>
          <w:rFonts w:ascii="Times New Roman" w:hAnsi="Times New Roman" w:cs="Times New Roman"/>
          <w:sz w:val="24"/>
          <w:szCs w:val="24"/>
          <w:lang w:val="de-DE"/>
        </w:rPr>
        <w:t>Darstellung der Entwicklung, Funktion, Rechtquellen und Aufgaben de</w:t>
      </w:r>
      <w:r w:rsidR="0060771F">
        <w:rPr>
          <w:rFonts w:ascii="Times New Roman" w:hAnsi="Times New Roman" w:cs="Times New Roman"/>
          <w:sz w:val="24"/>
          <w:szCs w:val="24"/>
          <w:lang w:val="de-DE"/>
        </w:rPr>
        <w:t>s</w:t>
      </w:r>
      <w:r w:rsidR="002D41A7">
        <w:rPr>
          <w:rFonts w:ascii="Times New Roman" w:hAnsi="Times New Roman" w:cs="Times New Roman"/>
          <w:sz w:val="24"/>
          <w:szCs w:val="24"/>
          <w:lang w:val="de-DE"/>
        </w:rPr>
        <w:t xml:space="preserve"> Europäischen Arbeitsrechts. Der erste Schwerpunkt liegt in der Erörterung der für das Arbeitsrecht entscheidenden primärrechtlichen Regelungen (Arbeitsnehmerfreizügigkeit, Dienstleistungsfreiheit und Diskriminierungsverbote). Der zweite Schwerpunkt befasst sich mit ausgewählten Materien des Individualarbeitsrechts (Arbeitszeit, Urlaub, Teilzeit, Befristungsrecht). Abschließend wird das europäische Arbeitskollisionsrecht behandelt. </w:t>
      </w:r>
    </w:p>
    <w:p w14:paraId="74A55F8B" w14:textId="1DF6C999" w:rsidR="00D547CC" w:rsidRPr="008239D6" w:rsidRDefault="008A0485" w:rsidP="00F44281">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Die relevanten gesetzlichen Normen des </w:t>
      </w:r>
      <w:r w:rsidR="00F44281">
        <w:rPr>
          <w:rFonts w:ascii="Times New Roman" w:hAnsi="Times New Roman" w:cs="Times New Roman"/>
          <w:sz w:val="24"/>
          <w:szCs w:val="24"/>
          <w:lang w:val="de-DE"/>
        </w:rPr>
        <w:t xml:space="preserve">Europarechts und </w:t>
      </w:r>
      <w:r w:rsidR="005E2AEA">
        <w:rPr>
          <w:rFonts w:ascii="Times New Roman" w:hAnsi="Times New Roman" w:cs="Times New Roman"/>
          <w:sz w:val="24"/>
          <w:szCs w:val="24"/>
          <w:lang w:val="de-DE"/>
        </w:rPr>
        <w:t>Arbeitsrechts</w:t>
      </w:r>
      <w:r w:rsidRPr="008239D6">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 xml:space="preserve">sind in der Gesetzessammlung „EU-Arbeitsrecht“ </w:t>
      </w:r>
      <w:r w:rsidR="005C7511">
        <w:rPr>
          <w:rFonts w:ascii="Times New Roman" w:hAnsi="Times New Roman" w:cs="Times New Roman"/>
          <w:sz w:val="24"/>
          <w:szCs w:val="24"/>
          <w:lang w:val="de-DE"/>
        </w:rPr>
        <w:t>(</w:t>
      </w:r>
      <w:hyperlink r:id="rId9" w:history="1">
        <w:r w:rsidR="00F44281" w:rsidRPr="005C7511">
          <w:rPr>
            <w:rStyle w:val="Hiperhivatkozs"/>
            <w:rFonts w:ascii="Times New Roman" w:hAnsi="Times New Roman" w:cs="Times New Roman"/>
            <w:sz w:val="24"/>
            <w:szCs w:val="24"/>
            <w:lang w:val="de-DE"/>
          </w:rPr>
          <w:t>Beck-Texte im dtv, 6. Auflage 2016, ISBN: 978-3-423-05751-6</w:t>
        </w:r>
      </w:hyperlink>
      <w:r w:rsidR="005C7511">
        <w:rPr>
          <w:rFonts w:ascii="Times New Roman" w:hAnsi="Times New Roman" w:cs="Times New Roman"/>
          <w:sz w:val="24"/>
          <w:szCs w:val="24"/>
          <w:lang w:val="de-DE"/>
        </w:rPr>
        <w:t>)</w:t>
      </w:r>
      <w:r w:rsidR="00F44281" w:rsidRPr="00F44281">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veröffentlicht. Die Nutzung dieser Gesetzessammlung bzw. die eigen</w:t>
      </w:r>
      <w:r w:rsidR="005C7511">
        <w:rPr>
          <w:rFonts w:ascii="Times New Roman" w:hAnsi="Times New Roman" w:cs="Times New Roman"/>
          <w:sz w:val="24"/>
          <w:szCs w:val="24"/>
          <w:lang w:val="de-DE"/>
        </w:rPr>
        <w:t>ständige</w:t>
      </w:r>
      <w:r w:rsidR="00F44281">
        <w:rPr>
          <w:rFonts w:ascii="Times New Roman" w:hAnsi="Times New Roman" w:cs="Times New Roman"/>
          <w:sz w:val="24"/>
          <w:szCs w:val="24"/>
          <w:lang w:val="de-DE"/>
        </w:rPr>
        <w:t xml:space="preserve"> Zusammenstellung der </w:t>
      </w:r>
      <w:r w:rsidR="005C7511">
        <w:rPr>
          <w:rFonts w:ascii="Times New Roman" w:hAnsi="Times New Roman" w:cs="Times New Roman"/>
          <w:sz w:val="24"/>
          <w:szCs w:val="24"/>
          <w:lang w:val="de-DE"/>
        </w:rPr>
        <w:t xml:space="preserve">relevanten Normen </w:t>
      </w:r>
      <w:r w:rsidR="00F44281">
        <w:rPr>
          <w:rFonts w:ascii="Times New Roman" w:hAnsi="Times New Roman" w:cs="Times New Roman"/>
          <w:sz w:val="24"/>
          <w:szCs w:val="24"/>
          <w:lang w:val="de-DE"/>
        </w:rPr>
        <w:t>über</w:t>
      </w:r>
      <w:r w:rsidR="005C7511">
        <w:rPr>
          <w:rFonts w:ascii="Times New Roman" w:hAnsi="Times New Roman" w:cs="Times New Roman"/>
          <w:sz w:val="24"/>
          <w:szCs w:val="24"/>
          <w:lang w:val="de-DE"/>
        </w:rPr>
        <w:t xml:space="preserve"> den europäischen Dokumentenserver EUR-Lex (</w:t>
      </w:r>
      <w:hyperlink r:id="rId10" w:history="1">
        <w:r w:rsidR="005C7511" w:rsidRPr="002957A8">
          <w:rPr>
            <w:rStyle w:val="Hiperhivatkozs"/>
            <w:rFonts w:ascii="Times New Roman" w:hAnsi="Times New Roman" w:cs="Times New Roman"/>
            <w:sz w:val="24"/>
            <w:szCs w:val="24"/>
            <w:lang w:val="de-DE"/>
          </w:rPr>
          <w:t>http://eur-lex.europa.eu/homepage.html?locale=de</w:t>
        </w:r>
      </w:hyperlink>
      <w:r w:rsidR="005C7511">
        <w:rPr>
          <w:rFonts w:ascii="Times New Roman" w:hAnsi="Times New Roman" w:cs="Times New Roman"/>
          <w:sz w:val="24"/>
          <w:szCs w:val="24"/>
          <w:lang w:val="de-DE"/>
        </w:rPr>
        <w:t>)</w:t>
      </w:r>
      <w:r w:rsidR="00F44281">
        <w:rPr>
          <w:rFonts w:ascii="Times New Roman" w:hAnsi="Times New Roman" w:cs="Times New Roman"/>
          <w:sz w:val="24"/>
          <w:szCs w:val="24"/>
          <w:lang w:val="de-DE"/>
        </w:rPr>
        <w:t xml:space="preserve"> wird </w:t>
      </w:r>
      <w:r w:rsidR="0060771F">
        <w:rPr>
          <w:rFonts w:ascii="Times New Roman" w:hAnsi="Times New Roman" w:cs="Times New Roman"/>
          <w:sz w:val="24"/>
          <w:szCs w:val="24"/>
          <w:lang w:val="de-DE"/>
        </w:rPr>
        <w:t xml:space="preserve">dringend </w:t>
      </w:r>
      <w:r w:rsidR="00F44281">
        <w:rPr>
          <w:rFonts w:ascii="Times New Roman" w:hAnsi="Times New Roman" w:cs="Times New Roman"/>
          <w:sz w:val="24"/>
          <w:szCs w:val="24"/>
          <w:lang w:val="de-DE"/>
        </w:rPr>
        <w:t>empfohlen.</w:t>
      </w:r>
    </w:p>
    <w:p w14:paraId="74A55F8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1A01774E" w14:textId="1612053A" w:rsidR="001256AF"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Einführung und Hintergrund</w:t>
      </w:r>
      <w:r w:rsidR="001256AF">
        <w:rPr>
          <w:rFonts w:ascii="Times New Roman" w:hAnsi="Times New Roman" w:cs="Times New Roman"/>
          <w:lang w:val="de-DE"/>
        </w:rPr>
        <w:t xml:space="preserve"> (</w:t>
      </w:r>
      <w:r w:rsidR="00854FAD">
        <w:rPr>
          <w:rFonts w:ascii="Times New Roman" w:hAnsi="Times New Roman" w:cs="Times New Roman"/>
          <w:lang w:val="de-DE"/>
        </w:rPr>
        <w:t>historische Entwicklung, Funktion, Aufgaben, Rechtsquellen</w:t>
      </w:r>
      <w:r w:rsidR="001256AF">
        <w:rPr>
          <w:rFonts w:ascii="Times New Roman" w:hAnsi="Times New Roman" w:cs="Times New Roman"/>
          <w:lang w:val="de-DE"/>
        </w:rPr>
        <w:t>)</w:t>
      </w:r>
      <w:r w:rsidR="001256AF" w:rsidRPr="008239D6">
        <w:rPr>
          <w:rFonts w:ascii="Times New Roman" w:hAnsi="Times New Roman" w:cs="Times New Roman"/>
          <w:lang w:val="de-DE"/>
        </w:rPr>
        <w:t xml:space="preserve"> </w:t>
      </w:r>
    </w:p>
    <w:p w14:paraId="35E64AC1" w14:textId="77777777" w:rsidR="00854FAD"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Grundlagen des</w:t>
      </w:r>
      <w:r w:rsidR="00854FAD">
        <w:rPr>
          <w:rFonts w:ascii="Times New Roman" w:hAnsi="Times New Roman" w:cs="Times New Roman"/>
          <w:lang w:val="de-DE"/>
        </w:rPr>
        <w:t xml:space="preserve"> europäischen Arbeitsrechts</w:t>
      </w:r>
      <w:r w:rsidR="001256AF">
        <w:rPr>
          <w:rFonts w:ascii="Times New Roman" w:hAnsi="Times New Roman" w:cs="Times New Roman"/>
          <w:lang w:val="de-DE"/>
        </w:rPr>
        <w:t xml:space="preserve"> (Rechts</w:t>
      </w:r>
      <w:r w:rsidR="00854FAD">
        <w:rPr>
          <w:rFonts w:ascii="Times New Roman" w:hAnsi="Times New Roman" w:cs="Times New Roman"/>
          <w:lang w:val="de-DE"/>
        </w:rPr>
        <w:t xml:space="preserve">setzung und Kompetenzen der EU, Verhältnis zum nationalen Arbeitsrecht, Auslegung, Rechtsprechung des EuGH) </w:t>
      </w:r>
    </w:p>
    <w:p w14:paraId="2CB2F741" w14:textId="07E6EAD2" w:rsidR="00854FAD" w:rsidRPr="00854FAD" w:rsidRDefault="00854FAD" w:rsidP="003673C9">
      <w:pPr>
        <w:pStyle w:val="Default"/>
        <w:spacing w:after="120"/>
        <w:ind w:left="720"/>
        <w:rPr>
          <w:rFonts w:ascii="Times New Roman" w:hAnsi="Times New Roman" w:cs="Times New Roman"/>
          <w:lang w:val="de-DE"/>
        </w:rPr>
      </w:pPr>
    </w:p>
    <w:p w14:paraId="7DC99D22" w14:textId="77777777" w:rsidR="00854FAD" w:rsidRDefault="00854FAD" w:rsidP="003673C9">
      <w:pPr>
        <w:pStyle w:val="Default"/>
        <w:spacing w:after="120"/>
        <w:ind w:left="720"/>
        <w:rPr>
          <w:rFonts w:ascii="Times New Roman" w:hAnsi="Times New Roman" w:cs="Times New Roman"/>
          <w:lang w:val="de-DE"/>
        </w:rPr>
      </w:pPr>
    </w:p>
    <w:p w14:paraId="4E768090" w14:textId="77777777" w:rsidR="00854FAD" w:rsidRDefault="00854FAD" w:rsidP="003673C9">
      <w:pPr>
        <w:pStyle w:val="Default"/>
        <w:spacing w:after="120"/>
        <w:ind w:left="720"/>
        <w:rPr>
          <w:rFonts w:ascii="Times New Roman" w:hAnsi="Times New Roman" w:cs="Times New Roman"/>
          <w:lang w:val="de-DE"/>
        </w:rPr>
      </w:pPr>
    </w:p>
    <w:p w14:paraId="59D28DB5" w14:textId="3B366DA2" w:rsidR="001256AF" w:rsidRPr="008239D6" w:rsidRDefault="00854FAD"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Arbeitnehmerfreizügigkeit nach Art. 45 AEUV I</w:t>
      </w:r>
      <w:r w:rsidR="001256AF">
        <w:rPr>
          <w:rFonts w:ascii="Times New Roman" w:hAnsi="Times New Roman" w:cs="Times New Roman"/>
          <w:lang w:val="de-DE"/>
        </w:rPr>
        <w:t xml:space="preserve"> (</w:t>
      </w:r>
      <w:r w:rsidR="009410D3">
        <w:rPr>
          <w:rFonts w:ascii="Times New Roman" w:hAnsi="Times New Roman" w:cs="Times New Roman"/>
          <w:lang w:val="de-DE"/>
        </w:rPr>
        <w:t>Grundfreiheit, subjektive Recht, Freizügigkeits-VO 492/2011</w:t>
      </w:r>
      <w:r w:rsidR="001256AF">
        <w:rPr>
          <w:rFonts w:ascii="Times New Roman" w:hAnsi="Times New Roman" w:cs="Times New Roman"/>
          <w:lang w:val="de-DE"/>
        </w:rPr>
        <w:t>)</w:t>
      </w:r>
    </w:p>
    <w:p w14:paraId="7D934D0A" w14:textId="6F753F1F" w:rsidR="001256AF" w:rsidRPr="008239D6" w:rsidRDefault="00854FAD"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 xml:space="preserve">Arbeitnehmerfreizügigkeit nach Art. 45 AEUV II </w:t>
      </w:r>
      <w:r w:rsidR="001256AF">
        <w:rPr>
          <w:rFonts w:ascii="Times New Roman" w:hAnsi="Times New Roman" w:cs="Times New Roman"/>
          <w:lang w:val="de-DE"/>
        </w:rPr>
        <w:t>(</w:t>
      </w:r>
      <w:r w:rsidR="009E28CB">
        <w:rPr>
          <w:rFonts w:ascii="Times New Roman" w:hAnsi="Times New Roman" w:cs="Times New Roman"/>
          <w:lang w:val="de-DE"/>
        </w:rPr>
        <w:t>Diskriminierungs- und Beschränkungsverbot, Gleichbehandlung in sozialer Hinsicht</w:t>
      </w:r>
      <w:r w:rsidR="001256AF" w:rsidRPr="008239D6">
        <w:rPr>
          <w:rFonts w:ascii="Times New Roman" w:hAnsi="Times New Roman" w:cs="Times New Roman"/>
          <w:lang w:val="de-DE"/>
        </w:rPr>
        <w:t>)</w:t>
      </w:r>
    </w:p>
    <w:p w14:paraId="16FF753E" w14:textId="5E23D48F" w:rsidR="001256AF" w:rsidRPr="00006A3C"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Die</w:t>
      </w:r>
      <w:r w:rsidR="00EA2D0A">
        <w:rPr>
          <w:rFonts w:ascii="Times New Roman" w:hAnsi="Times New Roman" w:cs="Times New Roman"/>
          <w:lang w:val="de-DE"/>
        </w:rPr>
        <w:t>nstleistungsfreiheit nach Art. 5</w:t>
      </w:r>
      <w:r>
        <w:rPr>
          <w:rFonts w:ascii="Times New Roman" w:hAnsi="Times New Roman" w:cs="Times New Roman"/>
          <w:lang w:val="de-DE"/>
        </w:rPr>
        <w:t>6 AEUV</w:t>
      </w:r>
      <w:r w:rsidR="001256AF" w:rsidRPr="00006A3C">
        <w:rPr>
          <w:rFonts w:ascii="Times New Roman" w:hAnsi="Times New Roman" w:cs="Times New Roman"/>
          <w:lang w:val="de-DE"/>
        </w:rPr>
        <w:t xml:space="preserve"> (</w:t>
      </w:r>
      <w:r>
        <w:rPr>
          <w:rFonts w:ascii="Times New Roman" w:hAnsi="Times New Roman" w:cs="Times New Roman"/>
          <w:lang w:val="de-DE"/>
        </w:rPr>
        <w:t>arbeitsrechtliche Auswirkungen, Verhältnis zu den Grundrechten, insbesondere in Entsendesituationen</w:t>
      </w:r>
      <w:r w:rsidR="001256AF" w:rsidRPr="00006A3C">
        <w:rPr>
          <w:rFonts w:ascii="Times New Roman" w:hAnsi="Times New Roman" w:cs="Times New Roman"/>
          <w:lang w:val="de-DE"/>
        </w:rPr>
        <w:t>)</w:t>
      </w:r>
    </w:p>
    <w:p w14:paraId="614181B2" w14:textId="0557FBF9" w:rsidR="001256AF" w:rsidRPr="00343FAB"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Entsenderecht nach der Entsenderichtlinie 96/71/EG</w:t>
      </w:r>
      <w:r w:rsidR="001256AF">
        <w:rPr>
          <w:rFonts w:ascii="Times New Roman" w:hAnsi="Times New Roman" w:cs="Times New Roman"/>
          <w:lang w:val="de-DE"/>
        </w:rPr>
        <w:t xml:space="preserve"> </w:t>
      </w:r>
      <w:r w:rsidR="001256AF" w:rsidRPr="00343FAB">
        <w:rPr>
          <w:rFonts w:ascii="Times New Roman" w:hAnsi="Times New Roman" w:cs="Times New Roman"/>
          <w:lang w:val="de-DE"/>
        </w:rPr>
        <w:t>(</w:t>
      </w:r>
      <w:r>
        <w:rPr>
          <w:rFonts w:ascii="Times New Roman" w:hAnsi="Times New Roman" w:cs="Times New Roman"/>
          <w:lang w:val="de-DE"/>
        </w:rPr>
        <w:t>Mindestlohn, Mindesturlaub, administrative Abwicklung</w:t>
      </w:r>
      <w:r w:rsidR="001256AF" w:rsidRPr="00343FAB">
        <w:rPr>
          <w:rFonts w:ascii="Times New Roman" w:hAnsi="Times New Roman" w:cs="Times New Roman"/>
          <w:lang w:val="de-DE"/>
        </w:rPr>
        <w:t>)</w:t>
      </w:r>
    </w:p>
    <w:p w14:paraId="00A3F0A4" w14:textId="3417AC67" w:rsidR="001256AF" w:rsidRPr="00854FAD"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ichtdiskriminierungsrecht I</w:t>
      </w:r>
      <w:r>
        <w:rPr>
          <w:rFonts w:ascii="Times New Roman" w:hAnsi="Times New Roman" w:cs="Times New Roman"/>
          <w:lang w:val="de-DE"/>
        </w:rPr>
        <w:t xml:space="preserve"> </w:t>
      </w:r>
      <w:r w:rsidR="001256AF" w:rsidRPr="00854FAD">
        <w:rPr>
          <w:rFonts w:ascii="Times New Roman" w:hAnsi="Times New Roman" w:cs="Times New Roman"/>
          <w:lang w:val="de-DE"/>
        </w:rPr>
        <w:t>(</w:t>
      </w:r>
      <w:r w:rsidR="003673C9">
        <w:rPr>
          <w:rFonts w:ascii="Times New Roman" w:hAnsi="Times New Roman" w:cs="Times New Roman"/>
          <w:lang w:val="de-DE"/>
        </w:rPr>
        <w:t xml:space="preserve">Art. 157 AEUV, Art. 10 AEUV, </w:t>
      </w:r>
      <w:r>
        <w:rPr>
          <w:rFonts w:ascii="Times New Roman" w:hAnsi="Times New Roman" w:cs="Times New Roman"/>
          <w:lang w:val="de-DE"/>
        </w:rPr>
        <w:t>unmittelbare und mittelbare Entgeltdiskriminierung</w:t>
      </w:r>
      <w:r w:rsidR="001256AF" w:rsidRPr="00854FAD">
        <w:rPr>
          <w:rFonts w:ascii="Times New Roman" w:hAnsi="Times New Roman" w:cs="Times New Roman"/>
          <w:lang w:val="de-DE"/>
        </w:rPr>
        <w:t>)</w:t>
      </w:r>
    </w:p>
    <w:p w14:paraId="2C5374CF" w14:textId="21849048"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 xml:space="preserve">ichtdiskriminierungsrecht </w:t>
      </w:r>
      <w:r>
        <w:rPr>
          <w:rFonts w:ascii="Times New Roman" w:hAnsi="Times New Roman" w:cs="Times New Roman"/>
          <w:lang w:val="de-DE"/>
        </w:rPr>
        <w:t>I</w:t>
      </w:r>
      <w:r w:rsidR="001256AF">
        <w:rPr>
          <w:rFonts w:ascii="Times New Roman" w:hAnsi="Times New Roman" w:cs="Times New Roman"/>
          <w:lang w:val="de-DE"/>
        </w:rPr>
        <w:t>I (</w:t>
      </w:r>
      <w:r w:rsidR="003673C9">
        <w:rPr>
          <w:rFonts w:ascii="Times New Roman" w:hAnsi="Times New Roman" w:cs="Times New Roman"/>
          <w:lang w:val="de-DE"/>
        </w:rPr>
        <w:t xml:space="preserve">Art. 157 AEUV, </w:t>
      </w:r>
      <w:r>
        <w:rPr>
          <w:rFonts w:ascii="Times New Roman" w:hAnsi="Times New Roman" w:cs="Times New Roman"/>
          <w:lang w:val="de-DE"/>
        </w:rPr>
        <w:t>Gleichbehandlung im Bereich der sozialen Sicherheit, Auswirkungen auf die gesetzliche Altersvorsorge</w:t>
      </w:r>
      <w:r w:rsidR="001256AF">
        <w:rPr>
          <w:rFonts w:ascii="Times New Roman" w:hAnsi="Times New Roman" w:cs="Times New Roman"/>
          <w:lang w:val="de-DE"/>
        </w:rPr>
        <w:t>)</w:t>
      </w:r>
    </w:p>
    <w:p w14:paraId="18B4E9A4" w14:textId="0FE85316"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 xml:space="preserve">ichtdiskriminierungsrecht </w:t>
      </w:r>
      <w:r>
        <w:rPr>
          <w:rFonts w:ascii="Times New Roman" w:hAnsi="Times New Roman" w:cs="Times New Roman"/>
          <w:lang w:val="de-DE"/>
        </w:rPr>
        <w:t>III</w:t>
      </w:r>
      <w:r w:rsidR="001256AF">
        <w:rPr>
          <w:rFonts w:ascii="Times New Roman" w:hAnsi="Times New Roman" w:cs="Times New Roman"/>
          <w:lang w:val="de-DE"/>
        </w:rPr>
        <w:t xml:space="preserve"> (</w:t>
      </w:r>
      <w:r w:rsidR="003673C9">
        <w:rPr>
          <w:rFonts w:ascii="Times New Roman" w:hAnsi="Times New Roman" w:cs="Times New Roman"/>
          <w:lang w:val="de-DE"/>
        </w:rPr>
        <w:t xml:space="preserve">Art. 10 AEUV </w:t>
      </w:r>
      <w:r>
        <w:rPr>
          <w:rFonts w:ascii="Times New Roman" w:hAnsi="Times New Roman" w:cs="Times New Roman"/>
          <w:lang w:val="de-DE"/>
        </w:rPr>
        <w:t>sonstige Diskriminierungsfälle, insbesondere in Arbeits- und Beschäftigungsfragen, Lebensalter</w:t>
      </w:r>
      <w:r w:rsidR="001256AF">
        <w:rPr>
          <w:rFonts w:ascii="Times New Roman" w:hAnsi="Times New Roman" w:cs="Times New Roman"/>
          <w:lang w:val="de-DE"/>
        </w:rPr>
        <w:t>)</w:t>
      </w:r>
    </w:p>
    <w:p w14:paraId="6F73FFA5" w14:textId="21C26B01"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Arbeitszeit und Urlaubsrecht</w:t>
      </w:r>
      <w:r w:rsidR="001256AF">
        <w:rPr>
          <w:rFonts w:ascii="Times New Roman" w:hAnsi="Times New Roman" w:cs="Times New Roman"/>
          <w:lang w:val="de-DE"/>
        </w:rPr>
        <w:t xml:space="preserve"> (</w:t>
      </w:r>
      <w:r>
        <w:rPr>
          <w:rFonts w:ascii="Times New Roman" w:hAnsi="Times New Roman" w:cs="Times New Roman"/>
          <w:lang w:val="de-DE"/>
        </w:rPr>
        <w:t>Arbeitszeitrichtlinie 2003/88/EG</w:t>
      </w:r>
      <w:r w:rsidR="001256AF">
        <w:rPr>
          <w:rFonts w:ascii="Times New Roman" w:hAnsi="Times New Roman" w:cs="Times New Roman"/>
          <w:lang w:val="de-DE"/>
        </w:rPr>
        <w:t>)</w:t>
      </w:r>
    </w:p>
    <w:p w14:paraId="502354F0" w14:textId="5BF7D9DC"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Teilzeit- und Befristungsrecht</w:t>
      </w:r>
      <w:r w:rsidR="001256AF">
        <w:rPr>
          <w:rFonts w:ascii="Times New Roman" w:hAnsi="Times New Roman" w:cs="Times New Roman"/>
          <w:lang w:val="de-DE"/>
        </w:rPr>
        <w:t xml:space="preserve"> (</w:t>
      </w:r>
      <w:r w:rsidR="00575C58">
        <w:rPr>
          <w:rFonts w:ascii="Times New Roman" w:hAnsi="Times New Roman" w:cs="Times New Roman"/>
          <w:lang w:val="de-DE"/>
        </w:rPr>
        <w:t>Richtlinie 1997/81/EG, Richtlinie 1999/70/EG</w:t>
      </w:r>
      <w:r w:rsidR="001256AF">
        <w:rPr>
          <w:rFonts w:ascii="Times New Roman" w:hAnsi="Times New Roman" w:cs="Times New Roman"/>
          <w:lang w:val="de-DE"/>
        </w:rPr>
        <w:t>)</w:t>
      </w:r>
    </w:p>
    <w:p w14:paraId="767E644F" w14:textId="2B998F09" w:rsidR="001256AF" w:rsidRDefault="00575C58"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Kollisionsrecht (Rom-I und Rom-II-Verordnung, Gerichtsstand nach VO 44/2001, System der sozialen Sicherung nach VO 883/2004</w:t>
      </w:r>
      <w:r w:rsidR="001256AF">
        <w:rPr>
          <w:rFonts w:ascii="Times New Roman" w:hAnsi="Times New Roman" w:cs="Times New Roman"/>
          <w:lang w:val="de-DE"/>
        </w:rPr>
        <w:t>)</w:t>
      </w:r>
    </w:p>
    <w:p w14:paraId="74A55F9D" w14:textId="77777777" w:rsidR="008239D6" w:rsidRPr="008239D6" w:rsidRDefault="008239D6" w:rsidP="008239D6">
      <w:pPr>
        <w:pStyle w:val="Default"/>
        <w:rPr>
          <w:rFonts w:ascii="Times New Roman" w:hAnsi="Times New Roman" w:cs="Times New Roman"/>
          <w:lang w:val="de-DE"/>
        </w:rPr>
      </w:pPr>
    </w:p>
    <w:p w14:paraId="74A55F9E" w14:textId="585CF324"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CB7A40">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74A55F9F" w14:textId="377F1982" w:rsidR="007F6EB4" w:rsidRPr="008239D6" w:rsidRDefault="005C7511"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regt die Teilnehmenden zu einer eigenständigen Erarbeitung und Vertiefung des Stoffes an. </w:t>
      </w:r>
      <w:r w:rsidR="00ED254B" w:rsidRPr="008239D6">
        <w:rPr>
          <w:rFonts w:ascii="Times New Roman" w:hAnsi="Times New Roman" w:cs="Times New Roman"/>
          <w:sz w:val="24"/>
          <w:szCs w:val="24"/>
          <w:lang w:val="de-DE"/>
        </w:rPr>
        <w:t xml:space="preserve">Es wird von den Studierenden eine aktive Teilnahme </w:t>
      </w:r>
      <w:r w:rsidR="00ED254B">
        <w:rPr>
          <w:rFonts w:ascii="Times New Roman" w:hAnsi="Times New Roman" w:cs="Times New Roman"/>
          <w:sz w:val="24"/>
          <w:szCs w:val="24"/>
          <w:lang w:val="de-DE"/>
        </w:rPr>
        <w:t xml:space="preserve">an der Veranstaltung erwartet. </w:t>
      </w:r>
      <w:r>
        <w:rPr>
          <w:rFonts w:ascii="Times New Roman" w:hAnsi="Times New Roman" w:cs="Times New Roman"/>
          <w:sz w:val="24"/>
          <w:szCs w:val="24"/>
          <w:lang w:val="de-DE"/>
        </w:rPr>
        <w:t xml:space="preserve">Zu einzelnen Themen wird im Vorfeld Literatur und/oder Rechtsprechung zur Einarbeitung verteilt. </w:t>
      </w:r>
      <w:r w:rsidR="00CB7A40">
        <w:rPr>
          <w:rFonts w:ascii="Times New Roman" w:hAnsi="Times New Roman" w:cs="Times New Roman"/>
          <w:sz w:val="24"/>
          <w:szCs w:val="24"/>
          <w:lang w:val="de-DE"/>
        </w:rPr>
        <w:t xml:space="preserve">Im Anschluss an die jeweilige Veranstaltungseinheit wird die Präsentation per E-Mail an die Teilnehmenden versendet. </w:t>
      </w:r>
      <w:bookmarkStart w:id="1" w:name="_Hlk481175974"/>
      <w:r w:rsidR="00ED254B">
        <w:rPr>
          <w:rFonts w:ascii="Times New Roman" w:hAnsi="Times New Roman" w:cs="Times New Roman"/>
          <w:sz w:val="24"/>
          <w:szCs w:val="24"/>
          <w:lang w:val="de-DE"/>
        </w:rPr>
        <w:t>Präsentationen und Vortrag bilden die Grundlage für die Prüfungsvorbereitung.</w:t>
      </w:r>
      <w:bookmarkEnd w:id="1"/>
    </w:p>
    <w:p w14:paraId="74A55FA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74A55FA1" w14:textId="4D2EF1C6" w:rsidR="00D547CC" w:rsidRPr="008239D6" w:rsidRDefault="008239D6" w:rsidP="0000427C">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w:t>
      </w:r>
      <w:r w:rsidR="005E2AEA">
        <w:rPr>
          <w:rFonts w:ascii="Times New Roman" w:hAnsi="Times New Roman" w:cs="Times New Roman"/>
          <w:sz w:val="24"/>
          <w:szCs w:val="24"/>
          <w:lang w:val="de-DE"/>
        </w:rPr>
        <w:t xml:space="preserve">die </w:t>
      </w:r>
      <w:r w:rsidR="001256AF">
        <w:rPr>
          <w:rFonts w:ascii="Times New Roman" w:hAnsi="Times New Roman" w:cs="Times New Roman"/>
          <w:sz w:val="24"/>
          <w:szCs w:val="24"/>
          <w:lang w:val="de-DE"/>
        </w:rPr>
        <w:t xml:space="preserve">im Kurs </w:t>
      </w:r>
      <w:r w:rsidR="005C7511">
        <w:rPr>
          <w:rFonts w:ascii="Times New Roman" w:hAnsi="Times New Roman" w:cs="Times New Roman"/>
          <w:sz w:val="24"/>
          <w:szCs w:val="24"/>
          <w:lang w:val="de-DE"/>
        </w:rPr>
        <w:t>besprochenen</w:t>
      </w:r>
      <w:r w:rsidR="001256AF">
        <w:rPr>
          <w:rFonts w:ascii="Times New Roman" w:hAnsi="Times New Roman" w:cs="Times New Roman"/>
          <w:sz w:val="24"/>
          <w:szCs w:val="24"/>
          <w:lang w:val="de-DE"/>
        </w:rPr>
        <w:t xml:space="preserve"> </w:t>
      </w:r>
      <w:r w:rsidR="005E2AEA">
        <w:rPr>
          <w:rFonts w:ascii="Times New Roman" w:hAnsi="Times New Roman" w:cs="Times New Roman"/>
          <w:sz w:val="24"/>
          <w:szCs w:val="24"/>
          <w:lang w:val="de-DE"/>
        </w:rPr>
        <w:t xml:space="preserve">gesetzlichen Normen </w:t>
      </w:r>
      <w:r w:rsidR="00C910EC">
        <w:rPr>
          <w:rFonts w:ascii="Times New Roman" w:hAnsi="Times New Roman" w:cs="Times New Roman"/>
          <w:sz w:val="24"/>
          <w:szCs w:val="24"/>
          <w:lang w:val="de-DE"/>
        </w:rPr>
        <w:t xml:space="preserve">und ein Wörterbuch </w:t>
      </w:r>
      <w:r w:rsidR="005C7511">
        <w:rPr>
          <w:rFonts w:ascii="Times New Roman" w:hAnsi="Times New Roman" w:cs="Times New Roman"/>
          <w:sz w:val="24"/>
          <w:szCs w:val="24"/>
          <w:lang w:val="de-DE"/>
        </w:rPr>
        <w:t xml:space="preserve">DE-HU-DE </w:t>
      </w:r>
      <w:r w:rsidR="00C910EC">
        <w:rPr>
          <w:rFonts w:ascii="Times New Roman" w:hAnsi="Times New Roman" w:cs="Times New Roman"/>
          <w:sz w:val="24"/>
          <w:szCs w:val="24"/>
          <w:lang w:val="de-DE"/>
        </w:rPr>
        <w:t xml:space="preserve">zugelassen. </w:t>
      </w:r>
    </w:p>
    <w:sectPr w:rsidR="00D547CC" w:rsidRPr="008239D6" w:rsidSect="00CA2F1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6FB29" w14:textId="77777777" w:rsidR="006D080F" w:rsidRDefault="006D080F" w:rsidP="005C5DCB">
      <w:pPr>
        <w:spacing w:after="0" w:line="240" w:lineRule="auto"/>
      </w:pPr>
      <w:r>
        <w:separator/>
      </w:r>
    </w:p>
  </w:endnote>
  <w:endnote w:type="continuationSeparator" w:id="0">
    <w:p w14:paraId="276D50F8" w14:textId="77777777" w:rsidR="006D080F" w:rsidRDefault="006D080F"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974B3" w14:textId="77777777" w:rsidR="006D080F" w:rsidRDefault="006D080F" w:rsidP="005C5DCB">
      <w:pPr>
        <w:spacing w:after="0" w:line="240" w:lineRule="auto"/>
      </w:pPr>
      <w:r>
        <w:separator/>
      </w:r>
    </w:p>
  </w:footnote>
  <w:footnote w:type="continuationSeparator" w:id="0">
    <w:p w14:paraId="2B7A1658" w14:textId="77777777" w:rsidR="006D080F" w:rsidRDefault="006D080F"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0427C"/>
    <w:rsid w:val="00073F7E"/>
    <w:rsid w:val="001256AF"/>
    <w:rsid w:val="00132EC6"/>
    <w:rsid w:val="001644A7"/>
    <w:rsid w:val="00184C1C"/>
    <w:rsid w:val="001B0754"/>
    <w:rsid w:val="001C60F5"/>
    <w:rsid w:val="001D3038"/>
    <w:rsid w:val="001E4447"/>
    <w:rsid w:val="002753E1"/>
    <w:rsid w:val="002904DE"/>
    <w:rsid w:val="00293408"/>
    <w:rsid w:val="002969FE"/>
    <w:rsid w:val="002B058C"/>
    <w:rsid w:val="002D41A7"/>
    <w:rsid w:val="00355A14"/>
    <w:rsid w:val="003673C9"/>
    <w:rsid w:val="003827D5"/>
    <w:rsid w:val="003A2E39"/>
    <w:rsid w:val="003A7394"/>
    <w:rsid w:val="003B6E02"/>
    <w:rsid w:val="003F64D8"/>
    <w:rsid w:val="00451ED4"/>
    <w:rsid w:val="00482476"/>
    <w:rsid w:val="004A7E36"/>
    <w:rsid w:val="00502F48"/>
    <w:rsid w:val="00520CEE"/>
    <w:rsid w:val="00575C58"/>
    <w:rsid w:val="005B382A"/>
    <w:rsid w:val="005C5DCB"/>
    <w:rsid w:val="005C7511"/>
    <w:rsid w:val="005E2AEA"/>
    <w:rsid w:val="0060771F"/>
    <w:rsid w:val="0066061B"/>
    <w:rsid w:val="006B27C4"/>
    <w:rsid w:val="006D080F"/>
    <w:rsid w:val="00793B6E"/>
    <w:rsid w:val="007A21E7"/>
    <w:rsid w:val="007E6378"/>
    <w:rsid w:val="007F6EB4"/>
    <w:rsid w:val="008239D6"/>
    <w:rsid w:val="00854FAD"/>
    <w:rsid w:val="008648CB"/>
    <w:rsid w:val="008A0485"/>
    <w:rsid w:val="00937580"/>
    <w:rsid w:val="009410D3"/>
    <w:rsid w:val="00975EE9"/>
    <w:rsid w:val="00995B95"/>
    <w:rsid w:val="009A2771"/>
    <w:rsid w:val="009E28CB"/>
    <w:rsid w:val="009E757F"/>
    <w:rsid w:val="00A42B18"/>
    <w:rsid w:val="00A96C87"/>
    <w:rsid w:val="00B422A6"/>
    <w:rsid w:val="00B57D52"/>
    <w:rsid w:val="00B7714D"/>
    <w:rsid w:val="00B96F3B"/>
    <w:rsid w:val="00C55C3F"/>
    <w:rsid w:val="00C62A9A"/>
    <w:rsid w:val="00C910EC"/>
    <w:rsid w:val="00CA2F14"/>
    <w:rsid w:val="00CB0B5D"/>
    <w:rsid w:val="00CB4D85"/>
    <w:rsid w:val="00CB7A40"/>
    <w:rsid w:val="00D04201"/>
    <w:rsid w:val="00D26ADF"/>
    <w:rsid w:val="00D547CC"/>
    <w:rsid w:val="00DA1581"/>
    <w:rsid w:val="00DD3FF5"/>
    <w:rsid w:val="00E22CF7"/>
    <w:rsid w:val="00E83476"/>
    <w:rsid w:val="00EA2D0A"/>
    <w:rsid w:val="00EA72D5"/>
    <w:rsid w:val="00ED254B"/>
    <w:rsid w:val="00F10568"/>
    <w:rsid w:val="00F44281"/>
    <w:rsid w:val="00F87F1C"/>
    <w:rsid w:val="00FB77F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F83"/>
  <w15:docId w15:val="{74B1CA0B-CC79-43E2-9605-A725DA78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937580"/>
    <w:rPr>
      <w:color w:val="0563C1" w:themeColor="hyperlink"/>
      <w:u w:val="single"/>
    </w:rPr>
  </w:style>
  <w:style w:type="character" w:customStyle="1" w:styleId="Mention">
    <w:name w:val="Mention"/>
    <w:basedOn w:val="Bekezdsalapbettpusa"/>
    <w:uiPriority w:val="99"/>
    <w:semiHidden/>
    <w:unhideWhenUsed/>
    <w:rsid w:val="009375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t.Erik@ajk.elte.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gert.daa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ur-lex.europa.eu/homepage.html?locale=de" TargetMode="External"/><Relationship Id="rId4" Type="http://schemas.openxmlformats.org/officeDocument/2006/relationships/webSettings" Target="webSettings.xml"/><Relationship Id="rId9" Type="http://schemas.openxmlformats.org/officeDocument/2006/relationships/hyperlink" Target="https://www.dtv.de/buch/eu-arbeitsrecht-5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3975</Characters>
  <Application>Microsoft Office Word</Application>
  <DocSecurity>0</DocSecurity>
  <Lines>33</Lines>
  <Paragraphs>9</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2020-11-18T13:53:00Z</dcterms:created>
  <dcterms:modified xsi:type="dcterms:W3CDTF">2020-11-18T13:53:00Z</dcterms:modified>
</cp:coreProperties>
</file>