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3B0B" w14:textId="77777777" w:rsidR="00B90E91" w:rsidRDefault="00B90E91" w:rsidP="008966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0EFB6C" w14:textId="77777777" w:rsidR="00B90E91" w:rsidRDefault="00B90E91" w:rsidP="008966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D043B1" w14:textId="3B47B80B" w:rsidR="008D15D5" w:rsidRPr="008D15D5" w:rsidRDefault="00D41E2A" w:rsidP="008D15D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 xml:space="preserve">Free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>movement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>persons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>before</w:t>
      </w:r>
      <w:proofErr w:type="spellEnd"/>
      <w:r w:rsidR="004D13A2"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>, during</w:t>
      </w: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 xml:space="preserve"> and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>after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 xml:space="preserve"> COVID</w:t>
      </w:r>
      <w:r w:rsidR="004D13A2"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>-19</w:t>
      </w:r>
    </w:p>
    <w:p w14:paraId="72C18E87" w14:textId="77777777" w:rsidR="008D15D5" w:rsidRPr="008D15D5" w:rsidRDefault="008D15D5" w:rsidP="008D15D5">
      <w:pPr>
        <w:spacing w:after="0" w:line="240" w:lineRule="auto"/>
        <w:rPr>
          <w:rFonts w:ascii="Garamond" w:eastAsia="MS Mincho" w:hAnsi="Garamond" w:cs="Times New Roman"/>
          <w:b/>
          <w:sz w:val="24"/>
          <w:szCs w:val="24"/>
          <w:lang w:eastAsia="en-US"/>
        </w:rPr>
      </w:pPr>
    </w:p>
    <w:p w14:paraId="0685B7D9" w14:textId="77777777" w:rsidR="008D15D5" w:rsidRPr="008D15D5" w:rsidRDefault="008D15D5" w:rsidP="008D15D5">
      <w:pPr>
        <w:spacing w:after="0" w:line="240" w:lineRule="auto"/>
        <w:rPr>
          <w:rFonts w:ascii="Garamond" w:eastAsia="MS Mincho" w:hAnsi="Garamond" w:cs="Times New Roman"/>
          <w:b/>
          <w:sz w:val="24"/>
          <w:szCs w:val="24"/>
          <w:lang w:eastAsia="en-US"/>
        </w:rPr>
      </w:pPr>
    </w:p>
    <w:p w14:paraId="52EABB66" w14:textId="7FF329DF" w:rsidR="008D15D5" w:rsidRPr="00125FA7" w:rsidRDefault="00125FA7" w:rsidP="008D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Lecturer: </w:t>
      </w:r>
      <w:r w:rsidR="008D15D5" w:rsidRPr="00125FA7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D</w:t>
      </w:r>
      <w:r w:rsidR="004D13A2" w:rsidRPr="00125FA7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</w:t>
      </w:r>
      <w:r w:rsidR="008D15D5" w:rsidRPr="00125FA7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. Éva Lukács Gellérné, </w:t>
      </w:r>
      <w:r w:rsidR="004D13A2" w:rsidRPr="00125FA7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PhD, </w:t>
      </w:r>
      <w:r w:rsidR="008D15D5" w:rsidRPr="00125FA7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senior lecturer</w:t>
      </w:r>
    </w:p>
    <w:p w14:paraId="12242168" w14:textId="77777777" w:rsidR="008D15D5" w:rsidRPr="00125FA7" w:rsidRDefault="008D15D5" w:rsidP="008D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125FA7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Department of Private International Law and European Economic Law (ELTE)</w:t>
      </w:r>
    </w:p>
    <w:p w14:paraId="0F225519" w14:textId="77777777" w:rsidR="008D15D5" w:rsidRPr="008D15D5" w:rsidRDefault="008D15D5" w:rsidP="008D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8D15D5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e-mail: </w:t>
      </w:r>
      <w:hyperlink r:id="rId7" w:history="1">
        <w:r w:rsidRPr="008D1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n-US"/>
          </w:rPr>
          <w:t>gellernelukacs.eva@ajk.elte.hu</w:t>
        </w:r>
      </w:hyperlink>
    </w:p>
    <w:p w14:paraId="33274A0B" w14:textId="77777777" w:rsidR="008D15D5" w:rsidRPr="008D15D5" w:rsidRDefault="008D15D5" w:rsidP="008D15D5">
      <w:pPr>
        <w:spacing w:after="0" w:line="240" w:lineRule="auto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14:paraId="0550570D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76283309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8D15D5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Description</w:t>
      </w:r>
    </w:p>
    <w:p w14:paraId="7F3ACBA3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0DA337A9" w14:textId="6ED106BA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covers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essential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EU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legal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framework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free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movement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persons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within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Internal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Market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having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particular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focus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COVID</w:t>
      </w:r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-19</w:t>
      </w:r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its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legal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consequences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</w:p>
    <w:p w14:paraId="499B0338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5AD7575B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123F1A00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19D5209C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schedule</w:t>
      </w:r>
      <w:proofErr w:type="spellEnd"/>
    </w:p>
    <w:p w14:paraId="2050B367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2FF28C5" w14:textId="6956BDF9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spells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out in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detail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vast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legal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material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free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movement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persons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under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EU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Concrete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issues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from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realm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residence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employment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rights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dealt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with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Analysis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legal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sources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based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TFEU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secondary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EU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instruments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 (</w:t>
      </w:r>
      <w:proofErr w:type="spellStart"/>
      <w:proofErr w:type="gram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Regulation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492/2011/EU,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Regulation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883/2004/EC,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Directive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2004/38/EC).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Special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focus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put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relevant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case-law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European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we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choose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cases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examine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in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detail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Notable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examples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implementation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EU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into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national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also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touched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upon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aims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at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drawing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horizontal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picture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regarding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short-term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long-term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labour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migration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underlying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processes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realities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consequences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  </w:t>
      </w:r>
    </w:p>
    <w:p w14:paraId="21CBE9CE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26D54E51" w14:textId="5AEB5BD4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Appr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2</w:t>
      </w: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classes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devoted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to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understanding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legal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consequences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COVID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1E2A">
        <w:rPr>
          <w:rFonts w:ascii="Times New Roman" w:eastAsia="MS Mincho" w:hAnsi="Times New Roman" w:cs="Times New Roman"/>
          <w:sz w:val="24"/>
          <w:szCs w:val="24"/>
          <w:lang w:eastAsia="en-US"/>
        </w:rPr>
        <w:t>mobility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 </w:t>
      </w:r>
    </w:p>
    <w:p w14:paraId="602A4208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5034071F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14:paraId="7701FE69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US" w:eastAsia="en-US"/>
        </w:rPr>
      </w:pPr>
      <w:r w:rsidRPr="008D15D5">
        <w:rPr>
          <w:rFonts w:ascii="Times New Roman" w:eastAsia="MS Mincho" w:hAnsi="Times New Roman" w:cs="Times New Roman"/>
          <w:b/>
          <w:sz w:val="24"/>
          <w:szCs w:val="24"/>
          <w:lang w:val="en-US" w:eastAsia="en-US"/>
        </w:rPr>
        <w:t xml:space="preserve">Assessment: </w:t>
      </w:r>
    </w:p>
    <w:p w14:paraId="2289ED4B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14:paraId="4A0E9E38" w14:textId="1A6DD3B3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Lecture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participation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is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obligatory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A</w:t>
      </w: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ctive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participation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during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is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anticipated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class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work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is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evaluated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through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Moodle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system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points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are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collected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="00C30157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t</w:t>
      </w:r>
      <w:r w:rsidR="00C30157">
        <w:rPr>
          <w:rFonts w:ascii="Times New Roman" w:eastAsia="MS Mincho" w:hAnsi="Times New Roman" w:cs="Times New Roman"/>
          <w:sz w:val="24"/>
          <w:szCs w:val="24"/>
          <w:lang w:eastAsia="en-US"/>
        </w:rPr>
        <w:t>h</w:t>
      </w:r>
      <w:bookmarkStart w:id="0" w:name="_GoBack"/>
      <w:bookmarkEnd w:id="0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e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basis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which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grading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is </w:t>
      </w:r>
      <w:proofErr w:type="spellStart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>effectuated</w:t>
      </w:r>
      <w:proofErr w:type="spellEnd"/>
      <w:r w:rsidR="004D13A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</w:p>
    <w:p w14:paraId="2DD89A25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699E4213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7759BB6D" w14:textId="77777777" w:rsidR="008D15D5" w:rsidRPr="008D15D5" w:rsidRDefault="008D15D5" w:rsidP="008D15D5">
      <w:pPr>
        <w:spacing w:after="120" w:line="320" w:lineRule="exact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Materials</w:t>
      </w:r>
      <w:proofErr w:type="spellEnd"/>
    </w:p>
    <w:p w14:paraId="48782D59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14:paraId="08EF32CC" w14:textId="77777777" w:rsidR="00BA4804" w:rsidRPr="00010EBF" w:rsidRDefault="008D15D5" w:rsidP="008D15D5">
      <w:pPr>
        <w:pBdr>
          <w:bottom w:val="single" w:sz="6" w:space="1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slides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lectures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uploaded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documents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during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  <w:r w:rsidRPr="008D15D5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 </w:t>
      </w:r>
    </w:p>
    <w:sectPr w:rsidR="00BA4804" w:rsidRPr="00010EBF" w:rsidSect="00AD7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39CDA" w14:textId="77777777" w:rsidR="00527E66" w:rsidRDefault="00527E66" w:rsidP="00B90E91">
      <w:pPr>
        <w:spacing w:after="0" w:line="240" w:lineRule="auto"/>
      </w:pPr>
      <w:r>
        <w:separator/>
      </w:r>
    </w:p>
  </w:endnote>
  <w:endnote w:type="continuationSeparator" w:id="0">
    <w:p w14:paraId="65E881E2" w14:textId="77777777" w:rsidR="00527E66" w:rsidRDefault="00527E66" w:rsidP="00B9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799A9" w14:textId="77777777" w:rsidR="00527E66" w:rsidRDefault="00527E66" w:rsidP="00B90E91">
      <w:pPr>
        <w:spacing w:after="0" w:line="240" w:lineRule="auto"/>
      </w:pPr>
      <w:r>
        <w:separator/>
      </w:r>
    </w:p>
  </w:footnote>
  <w:footnote w:type="continuationSeparator" w:id="0">
    <w:p w14:paraId="0D10A6D0" w14:textId="77777777" w:rsidR="00527E66" w:rsidRDefault="00527E66" w:rsidP="00B9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531B0" w14:textId="77777777" w:rsidR="00B90E91" w:rsidRDefault="00B90E91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05DF17" wp14:editId="7B4C24DB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C51"/>
    <w:multiLevelType w:val="hybridMultilevel"/>
    <w:tmpl w:val="06C29F90"/>
    <w:lvl w:ilvl="0" w:tplc="73202C0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DB0"/>
    <w:multiLevelType w:val="hybridMultilevel"/>
    <w:tmpl w:val="04C2F60E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61372"/>
    <w:multiLevelType w:val="hybridMultilevel"/>
    <w:tmpl w:val="F0FC84A6"/>
    <w:lvl w:ilvl="0" w:tplc="73202C0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DFB"/>
    <w:multiLevelType w:val="hybridMultilevel"/>
    <w:tmpl w:val="CC848060"/>
    <w:lvl w:ilvl="0" w:tplc="4A9A4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5D2279"/>
    <w:multiLevelType w:val="hybridMultilevel"/>
    <w:tmpl w:val="0CB25078"/>
    <w:lvl w:ilvl="0" w:tplc="73202C0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650E"/>
    <w:multiLevelType w:val="multilevel"/>
    <w:tmpl w:val="8BD011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Theme="minorEastAsia" w:hAnsi="Garamond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13494"/>
    <w:multiLevelType w:val="multilevel"/>
    <w:tmpl w:val="97F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565A6"/>
    <w:multiLevelType w:val="hybridMultilevel"/>
    <w:tmpl w:val="EACC5622"/>
    <w:lvl w:ilvl="0" w:tplc="D0807DE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3564A"/>
    <w:multiLevelType w:val="hybridMultilevel"/>
    <w:tmpl w:val="21B22CDE"/>
    <w:lvl w:ilvl="0" w:tplc="FEB4082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D3"/>
    <w:rsid w:val="00002D60"/>
    <w:rsid w:val="0000414D"/>
    <w:rsid w:val="00010EBF"/>
    <w:rsid w:val="00020CCF"/>
    <w:rsid w:val="00024632"/>
    <w:rsid w:val="00044877"/>
    <w:rsid w:val="00051909"/>
    <w:rsid w:val="00125FA7"/>
    <w:rsid w:val="00175843"/>
    <w:rsid w:val="00196093"/>
    <w:rsid w:val="001A3AAD"/>
    <w:rsid w:val="001C6628"/>
    <w:rsid w:val="00202A72"/>
    <w:rsid w:val="0039313D"/>
    <w:rsid w:val="00414807"/>
    <w:rsid w:val="00432419"/>
    <w:rsid w:val="004724A9"/>
    <w:rsid w:val="004B7EFC"/>
    <w:rsid w:val="004C4B0F"/>
    <w:rsid w:val="004D13A2"/>
    <w:rsid w:val="004F4CCE"/>
    <w:rsid w:val="00510498"/>
    <w:rsid w:val="00527E66"/>
    <w:rsid w:val="00554162"/>
    <w:rsid w:val="00580AB3"/>
    <w:rsid w:val="00582DE0"/>
    <w:rsid w:val="00652E5A"/>
    <w:rsid w:val="0066628A"/>
    <w:rsid w:val="0068112F"/>
    <w:rsid w:val="00752001"/>
    <w:rsid w:val="00760A4D"/>
    <w:rsid w:val="00771169"/>
    <w:rsid w:val="007723D3"/>
    <w:rsid w:val="00774691"/>
    <w:rsid w:val="007B3B79"/>
    <w:rsid w:val="00886513"/>
    <w:rsid w:val="0089660E"/>
    <w:rsid w:val="008B716E"/>
    <w:rsid w:val="008D15D5"/>
    <w:rsid w:val="009135AA"/>
    <w:rsid w:val="00932013"/>
    <w:rsid w:val="009C64EF"/>
    <w:rsid w:val="00AD72F6"/>
    <w:rsid w:val="00B66A3B"/>
    <w:rsid w:val="00B90E91"/>
    <w:rsid w:val="00B93D55"/>
    <w:rsid w:val="00B94F49"/>
    <w:rsid w:val="00BA4804"/>
    <w:rsid w:val="00C05941"/>
    <w:rsid w:val="00C30157"/>
    <w:rsid w:val="00CD049F"/>
    <w:rsid w:val="00CD514C"/>
    <w:rsid w:val="00D11979"/>
    <w:rsid w:val="00D40944"/>
    <w:rsid w:val="00D41E2A"/>
    <w:rsid w:val="00E45B32"/>
    <w:rsid w:val="00E46250"/>
    <w:rsid w:val="00E464AF"/>
    <w:rsid w:val="00E46FD1"/>
    <w:rsid w:val="00E6152D"/>
    <w:rsid w:val="00F1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F0FC"/>
  <w15:docId w15:val="{77094CCE-681B-4EC1-9BE4-13EC037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660E"/>
    <w:rPr>
      <w:rFonts w:eastAsiaTheme="minorEastAsia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4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6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4487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04487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B7EF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91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9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0E91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B9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0E91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llernelukacs.eva@aj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Stépán Zsófia</dc:creator>
  <cp:lastModifiedBy>Dr. Udovecz Ákos</cp:lastModifiedBy>
  <cp:revision>3</cp:revision>
  <dcterms:created xsi:type="dcterms:W3CDTF">2021-05-27T10:22:00Z</dcterms:created>
  <dcterms:modified xsi:type="dcterms:W3CDTF">2021-05-27T10:23:00Z</dcterms:modified>
</cp:coreProperties>
</file>