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Pr="00BD64FE" w:rsidRDefault="006A3E9F" w:rsidP="0093128C">
      <w:pPr>
        <w:pStyle w:val="Nincstrkz"/>
        <w:jc w:val="both"/>
        <w:rPr>
          <w:rFonts w:ascii="Century Schoolbook" w:hAnsi="Century Schoolbook" w:cs="Times New Roman"/>
          <w:b/>
          <w:lang w:val="en-GB"/>
        </w:rPr>
      </w:pPr>
    </w:p>
    <w:p w14:paraId="383C1EF2" w14:textId="77777777" w:rsidR="00D04F62" w:rsidRPr="00BD64FE" w:rsidRDefault="00D04F62" w:rsidP="00660BBE">
      <w:pPr>
        <w:autoSpaceDE w:val="0"/>
        <w:autoSpaceDN w:val="0"/>
        <w:adjustRightInd w:val="0"/>
        <w:spacing w:after="0" w:line="240" w:lineRule="auto"/>
        <w:jc w:val="both"/>
        <w:rPr>
          <w:rFonts w:ascii="Century Schoolbook" w:hAnsi="Century Schoolbook" w:cs="Times New Roman"/>
          <w:b/>
          <w:u w:val="single"/>
          <w:lang w:val="en-US"/>
        </w:rPr>
      </w:pPr>
    </w:p>
    <w:tbl>
      <w:tblPr>
        <w:tblStyle w:val="Rcsostblzat"/>
        <w:tblW w:w="0" w:type="auto"/>
        <w:tblLook w:val="04A0" w:firstRow="1" w:lastRow="0" w:firstColumn="1" w:lastColumn="0" w:noHBand="0" w:noVBand="1"/>
      </w:tblPr>
      <w:tblGrid>
        <w:gridCol w:w="3823"/>
        <w:gridCol w:w="5239"/>
      </w:tblGrid>
      <w:tr w:rsidR="0013685C" w:rsidRPr="00BD64FE" w14:paraId="422D0F2D" w14:textId="4E9785B7" w:rsidTr="0013685C">
        <w:trPr>
          <w:trHeight w:val="680"/>
        </w:trPr>
        <w:tc>
          <w:tcPr>
            <w:tcW w:w="3823" w:type="dxa"/>
          </w:tcPr>
          <w:p w14:paraId="0B43C6C4" w14:textId="77777777" w:rsidR="0013685C" w:rsidRPr="00BD64FE" w:rsidRDefault="0013685C" w:rsidP="00B91483">
            <w:pPr>
              <w:autoSpaceDE w:val="0"/>
              <w:autoSpaceDN w:val="0"/>
              <w:adjustRightInd w:val="0"/>
              <w:rPr>
                <w:rFonts w:ascii="Century Schoolbook" w:hAnsi="Century Schoolbook" w:cs="Times New Roman"/>
                <w:b/>
              </w:rPr>
            </w:pPr>
            <w:r w:rsidRPr="00BD64FE">
              <w:rPr>
                <w:rFonts w:ascii="Century Schoolbook" w:hAnsi="Century Schoolbook" w:cs="Times New Roman"/>
                <w:b/>
                <w:lang w:val="en-US"/>
              </w:rPr>
              <w:t>Title</w:t>
            </w:r>
          </w:p>
        </w:tc>
        <w:tc>
          <w:tcPr>
            <w:tcW w:w="5239" w:type="dxa"/>
          </w:tcPr>
          <w:p w14:paraId="25F1911A" w14:textId="1AF74387" w:rsidR="0013685C" w:rsidRPr="001E7DE8" w:rsidRDefault="001E7DE8" w:rsidP="00B91483">
            <w:pPr>
              <w:autoSpaceDE w:val="0"/>
              <w:autoSpaceDN w:val="0"/>
              <w:adjustRightInd w:val="0"/>
              <w:rPr>
                <w:rFonts w:ascii="Century Schoolbook" w:hAnsi="Century Schoolbook" w:cs="Times New Roman"/>
                <w:b/>
                <w:u w:val="single"/>
                <w:lang w:val="en-US"/>
              </w:rPr>
            </w:pPr>
            <w:r w:rsidRPr="001E7DE8">
              <w:rPr>
                <w:rFonts w:ascii="Times New Roman" w:eastAsia="Times New Roman" w:hAnsi="Times New Roman" w:cs="Times New Roman"/>
                <w:b/>
                <w:sz w:val="24"/>
                <w:szCs w:val="24"/>
                <w:lang w:val="en-US"/>
              </w:rPr>
              <w:t>International Commercial Dispute Settlement Law</w:t>
            </w:r>
            <w:bookmarkStart w:id="0" w:name="_GoBack"/>
            <w:bookmarkEnd w:id="0"/>
          </w:p>
        </w:tc>
      </w:tr>
      <w:tr w:rsidR="0013685C" w:rsidRPr="00BD64FE" w14:paraId="46B5954C" w14:textId="3F586132" w:rsidTr="00843161">
        <w:trPr>
          <w:trHeight w:val="1258"/>
        </w:trPr>
        <w:tc>
          <w:tcPr>
            <w:tcW w:w="3823" w:type="dxa"/>
          </w:tcPr>
          <w:p w14:paraId="55AC1BDB" w14:textId="77777777" w:rsidR="0013685C" w:rsidRPr="00BD64FE" w:rsidRDefault="0013685C" w:rsidP="00B91483">
            <w:pPr>
              <w:autoSpaceDE w:val="0"/>
              <w:autoSpaceDN w:val="0"/>
              <w:adjustRightInd w:val="0"/>
              <w:jc w:val="both"/>
              <w:rPr>
                <w:rFonts w:ascii="Century Schoolbook" w:eastAsia="MS Mincho" w:hAnsi="Century Schoolbook" w:cs="Times New Roman"/>
                <w:bCs/>
              </w:rPr>
            </w:pPr>
            <w:r w:rsidRPr="00BD64FE">
              <w:rPr>
                <w:rFonts w:ascii="Century Schoolbook" w:eastAsia="MS Mincho" w:hAnsi="Century Schoolbook" w:cs="Times New Roman"/>
                <w:b/>
                <w:bCs/>
              </w:rPr>
              <w:t>Lecturers:</w:t>
            </w:r>
            <w:r w:rsidRPr="00BD64FE">
              <w:rPr>
                <w:rFonts w:ascii="Century Schoolbook" w:eastAsia="MS Mincho" w:hAnsi="Century Schoolbook" w:cs="Times New Roman"/>
                <w:bCs/>
              </w:rPr>
              <w:t xml:space="preserve"> </w:t>
            </w:r>
          </w:p>
        </w:tc>
        <w:tc>
          <w:tcPr>
            <w:tcW w:w="5239" w:type="dxa"/>
          </w:tcPr>
          <w:p w14:paraId="6DD8A1DD" w14:textId="60F64CCD" w:rsidR="0013685C" w:rsidRPr="00773181" w:rsidRDefault="00122B36" w:rsidP="00B91483">
            <w:pPr>
              <w:autoSpaceDE w:val="0"/>
              <w:autoSpaceDN w:val="0"/>
              <w:adjustRightInd w:val="0"/>
              <w:jc w:val="both"/>
              <w:rPr>
                <w:rFonts w:ascii="Century Schoolbook" w:eastAsia="MS Mincho" w:hAnsi="Century Schoolbook" w:cs="Times New Roman"/>
                <w:bCs/>
              </w:rPr>
            </w:pPr>
            <w:r w:rsidRPr="00BD64FE">
              <w:rPr>
                <w:rFonts w:ascii="Century Schoolbook" w:eastAsia="MS Mincho" w:hAnsi="Century Schoolbook" w:cs="Times New Roman"/>
                <w:b/>
                <w:bCs/>
              </w:rPr>
              <w:t xml:space="preserve">Milan </w:t>
            </w:r>
            <w:proofErr w:type="spellStart"/>
            <w:r w:rsidRPr="00BD64FE">
              <w:rPr>
                <w:rFonts w:ascii="Century Schoolbook" w:eastAsia="MS Mincho" w:hAnsi="Century Schoolbook" w:cs="Times New Roman"/>
                <w:b/>
                <w:bCs/>
              </w:rPr>
              <w:t>Kohlrusz</w:t>
            </w:r>
            <w:proofErr w:type="spellEnd"/>
            <w:r w:rsidR="00773181">
              <w:rPr>
                <w:rFonts w:ascii="Century Schoolbook" w:eastAsia="MS Mincho" w:hAnsi="Century Schoolbook" w:cs="Times New Roman"/>
                <w:b/>
                <w:bCs/>
              </w:rPr>
              <w:t xml:space="preserve">, </w:t>
            </w:r>
            <w:r w:rsidR="00773181">
              <w:rPr>
                <w:rFonts w:ascii="Century Schoolbook" w:eastAsia="MS Mincho" w:hAnsi="Century Schoolbook" w:cs="Times New Roman"/>
                <w:bCs/>
              </w:rPr>
              <w:t>attorney at law</w:t>
            </w:r>
          </w:p>
          <w:p w14:paraId="5FBF9F28" w14:textId="142956C7" w:rsidR="00EE36FF" w:rsidRDefault="007142E0" w:rsidP="00B91483">
            <w:pPr>
              <w:autoSpaceDE w:val="0"/>
              <w:autoSpaceDN w:val="0"/>
              <w:adjustRightInd w:val="0"/>
              <w:jc w:val="both"/>
              <w:rPr>
                <w:rFonts w:ascii="Century Schoolbook" w:eastAsia="MS Mincho" w:hAnsi="Century Schoolbook" w:cs="Times New Roman"/>
                <w:b/>
                <w:bCs/>
              </w:rPr>
            </w:pPr>
            <w:hyperlink r:id="rId8" w:history="1">
              <w:r w:rsidR="00EE36FF" w:rsidRPr="00F45A80">
                <w:rPr>
                  <w:rStyle w:val="Hiperhivatkozs"/>
                  <w:rFonts w:ascii="Century Schoolbook" w:eastAsia="MS Mincho" w:hAnsi="Century Schoolbook" w:cs="Times New Roman"/>
                  <w:b/>
                  <w:bCs/>
                </w:rPr>
                <w:t>milan.kohlrusz@bktp.hu</w:t>
              </w:r>
            </w:hyperlink>
          </w:p>
          <w:p w14:paraId="3C959155" w14:textId="527B502D" w:rsidR="00EE36FF" w:rsidRPr="00BD64FE" w:rsidRDefault="00EE36FF" w:rsidP="00B91483">
            <w:pPr>
              <w:autoSpaceDE w:val="0"/>
              <w:autoSpaceDN w:val="0"/>
              <w:adjustRightInd w:val="0"/>
              <w:jc w:val="both"/>
              <w:rPr>
                <w:rFonts w:ascii="Century Schoolbook" w:eastAsia="MS Mincho" w:hAnsi="Century Schoolbook" w:cs="Times New Roman"/>
                <w:b/>
                <w:bCs/>
              </w:rPr>
            </w:pPr>
          </w:p>
        </w:tc>
      </w:tr>
      <w:tr w:rsidR="0013685C" w:rsidRPr="00BD64FE" w14:paraId="4A8773B5" w14:textId="50F53F5F" w:rsidTr="0013685C">
        <w:trPr>
          <w:trHeight w:val="2211"/>
        </w:trPr>
        <w:tc>
          <w:tcPr>
            <w:tcW w:w="3823" w:type="dxa"/>
          </w:tcPr>
          <w:p w14:paraId="3F2D5E4D"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Style w:val="Hiperhivatkozs"/>
                <w:rFonts w:ascii="Century Schoolbook" w:eastAsia="MS Mincho" w:hAnsi="Century Schoolbook" w:cs="Times New Roman"/>
                <w:b/>
                <w:bCs/>
                <w:color w:val="auto"/>
                <w:u w:val="none"/>
              </w:rPr>
              <w:t>Brief description</w:t>
            </w:r>
          </w:p>
        </w:tc>
        <w:tc>
          <w:tcPr>
            <w:tcW w:w="5239" w:type="dxa"/>
          </w:tcPr>
          <w:p w14:paraId="55F3E273" w14:textId="0B5DDE2C"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The course presents, outlines and discusses the rules and practices of cross-border disputes such as multi-countries litigation and international arbitration, with a view to further also comparing the rules and differences of international matters. While the emphasis of international arbitration would be based on ICC rules, however we would also pay attention to the Vienna International Court of Arbitration (VIAC), the London Court of International Arbitration (LCIA) and the Investment Treaty Arbitration (ICSID). In cross-border litigation we would cover dispute</w:t>
            </w:r>
            <w:r w:rsidR="00BD64FE">
              <w:rPr>
                <w:rFonts w:ascii="Century Schoolbook" w:hAnsi="Century Schoolbook"/>
                <w:color w:val="000000"/>
                <w:sz w:val="22"/>
                <w:szCs w:val="22"/>
              </w:rPr>
              <w:t>s</w:t>
            </w:r>
            <w:r w:rsidRPr="00BD64FE">
              <w:rPr>
                <w:rFonts w:ascii="Century Schoolbook" w:hAnsi="Century Schoolbook"/>
                <w:color w:val="000000"/>
                <w:sz w:val="22"/>
                <w:szCs w:val="22"/>
              </w:rPr>
              <w:t xml:space="preserve"> in overseas matters</w:t>
            </w:r>
            <w:r w:rsidR="00BD64FE">
              <w:rPr>
                <w:rFonts w:ascii="Century Schoolbook" w:hAnsi="Century Schoolbook"/>
                <w:color w:val="000000"/>
                <w:sz w:val="22"/>
                <w:szCs w:val="22"/>
              </w:rPr>
              <w:t xml:space="preserve"> with personal experiences</w:t>
            </w:r>
            <w:r w:rsidRPr="00BD64FE">
              <w:rPr>
                <w:rFonts w:ascii="Century Schoolbook" w:hAnsi="Century Schoolbook"/>
                <w:color w:val="000000"/>
                <w:sz w:val="22"/>
                <w:szCs w:val="22"/>
              </w:rPr>
              <w:t>.</w:t>
            </w:r>
          </w:p>
          <w:p w14:paraId="08434AD2"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 </w:t>
            </w:r>
          </w:p>
          <w:p w14:paraId="189A0321" w14:textId="662BB34C"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Along with discussion of the rules, students may also be interested in exploring topics such as (i) language barriers in international matters (different counsels in one proceeding); (ii) risks of legal cultural differences (the content of each but the same legal terms? What the real tasks of counsels and arbitration are in this area); (iii) the varied approaches to experts and witnesses coming from different countries; and (iv) the appraiser of evidence (documents).</w:t>
            </w:r>
            <w:r w:rsidRPr="00BD64FE">
              <w:rPr>
                <w:rStyle w:val="apple-converted-space"/>
                <w:rFonts w:ascii="Century Schoolbook" w:hAnsi="Century Schoolbook"/>
                <w:color w:val="000000"/>
                <w:sz w:val="22"/>
                <w:szCs w:val="22"/>
              </w:rPr>
              <w:t> </w:t>
            </w:r>
          </w:p>
          <w:p w14:paraId="6776BC3D"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 </w:t>
            </w:r>
          </w:p>
          <w:p w14:paraId="5120534A"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Needless to say, further discussions would include expectations in the proceedings of common law and continental law counsels and the solution thereof, as well as the review of the applicable rules on precedents and functional demonstration.</w:t>
            </w:r>
          </w:p>
          <w:p w14:paraId="6B8D0304" w14:textId="45365559" w:rsidR="0013685C" w:rsidRPr="00BD64FE" w:rsidRDefault="0013685C" w:rsidP="00B91483">
            <w:pPr>
              <w:autoSpaceDE w:val="0"/>
              <w:autoSpaceDN w:val="0"/>
              <w:adjustRightInd w:val="0"/>
              <w:jc w:val="both"/>
              <w:rPr>
                <w:rStyle w:val="Hiperhivatkozs"/>
                <w:rFonts w:ascii="Century Schoolbook" w:eastAsia="MS Mincho" w:hAnsi="Century Schoolbook" w:cs="Times New Roman"/>
                <w:b/>
                <w:bCs/>
                <w:color w:val="auto"/>
                <w:u w:val="none"/>
              </w:rPr>
            </w:pPr>
          </w:p>
        </w:tc>
      </w:tr>
      <w:tr w:rsidR="0013685C" w:rsidRPr="00BD64FE" w14:paraId="3A0A4B71" w14:textId="1BB992B0" w:rsidTr="0013685C">
        <w:trPr>
          <w:trHeight w:val="2211"/>
        </w:trPr>
        <w:tc>
          <w:tcPr>
            <w:tcW w:w="3823" w:type="dxa"/>
          </w:tcPr>
          <w:p w14:paraId="496EC863" w14:textId="77777777" w:rsidR="0013685C" w:rsidRPr="00BD64FE" w:rsidRDefault="0013685C" w:rsidP="00B91483">
            <w:pPr>
              <w:autoSpaceDE w:val="0"/>
              <w:autoSpaceDN w:val="0"/>
              <w:adjustRightInd w:val="0"/>
              <w:jc w:val="both"/>
              <w:rPr>
                <w:rFonts w:ascii="Century Schoolbook" w:eastAsia="MS Mincho" w:hAnsi="Century Schoolbook" w:cs="Times New Roman"/>
                <w:b/>
                <w:bCs/>
                <w:lang w:val="en-US"/>
              </w:rPr>
            </w:pPr>
            <w:r w:rsidRPr="00BD64FE">
              <w:rPr>
                <w:rFonts w:ascii="Century Schoolbook" w:eastAsia="MS Mincho" w:hAnsi="Century Schoolbook" w:cs="Times New Roman"/>
                <w:b/>
                <w:bCs/>
                <w:lang w:val="en-US"/>
              </w:rPr>
              <w:t>Schedule</w:t>
            </w:r>
          </w:p>
        </w:tc>
        <w:tc>
          <w:tcPr>
            <w:tcW w:w="5239" w:type="dxa"/>
          </w:tcPr>
          <w:p w14:paraId="3A0077CD" w14:textId="348160B8" w:rsidR="0013685C"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w:t>
            </w:r>
            <w:r w:rsidR="00122B36" w:rsidRPr="00BD64FE">
              <w:rPr>
                <w:rFonts w:ascii="Century Schoolbook" w:eastAsia="MS Mincho" w:hAnsi="Century Schoolbook" w:cs="Times New Roman"/>
                <w:lang w:val="en-US"/>
              </w:rPr>
              <w:t>. International arbitration and cross-border disputes – basic view</w:t>
            </w:r>
          </w:p>
          <w:p w14:paraId="1E96ED2B" w14:textId="6614B6A4"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2.</w:t>
            </w:r>
            <w:r w:rsidR="00122B36" w:rsidRPr="00BD64FE">
              <w:rPr>
                <w:rFonts w:ascii="Century Schoolbook" w:eastAsia="MS Mincho" w:hAnsi="Century Schoolbook" w:cs="Times New Roman"/>
                <w:lang w:val="en-US"/>
              </w:rPr>
              <w:t xml:space="preserve"> Treaties for cross-border disputes</w:t>
            </w:r>
          </w:p>
          <w:p w14:paraId="6EE4B147" w14:textId="676DCAE2"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3.</w:t>
            </w:r>
            <w:r w:rsidR="00122B36" w:rsidRPr="00BD64FE">
              <w:rPr>
                <w:rFonts w:ascii="Century Schoolbook" w:eastAsia="MS Mincho" w:hAnsi="Century Schoolbook" w:cs="Times New Roman"/>
                <w:lang w:val="en-US"/>
              </w:rPr>
              <w:t xml:space="preserve"> Agreement</w:t>
            </w:r>
            <w:r w:rsidR="00D15708">
              <w:rPr>
                <w:rFonts w:ascii="Century Schoolbook" w:eastAsia="MS Mincho" w:hAnsi="Century Schoolbook" w:cs="Times New Roman"/>
                <w:lang w:val="en-US"/>
              </w:rPr>
              <w:t>s (and lack of it)</w:t>
            </w:r>
            <w:r w:rsidR="00122B36" w:rsidRPr="00BD64FE">
              <w:rPr>
                <w:rFonts w:ascii="Century Schoolbook" w:eastAsia="MS Mincho" w:hAnsi="Century Schoolbook" w:cs="Times New Roman"/>
                <w:lang w:val="en-US"/>
              </w:rPr>
              <w:t xml:space="preserve"> amongst parties on disputes</w:t>
            </w:r>
          </w:p>
          <w:p w14:paraId="0B8B7BB1" w14:textId="66C2A470"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4.</w:t>
            </w:r>
            <w:r w:rsidR="00122B36" w:rsidRPr="00BD64FE">
              <w:rPr>
                <w:rFonts w:ascii="Century Schoolbook" w:eastAsia="MS Mincho" w:hAnsi="Century Schoolbook" w:cs="Times New Roman"/>
                <w:lang w:val="en-US"/>
              </w:rPr>
              <w:t xml:space="preserve"> Seat and place of the disputes and the applicable laws under the seat/place</w:t>
            </w:r>
          </w:p>
          <w:p w14:paraId="6E0753E4" w14:textId="7F6559C7"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5.</w:t>
            </w:r>
            <w:r w:rsidR="00122B36" w:rsidRPr="00BD64FE">
              <w:rPr>
                <w:rFonts w:ascii="Century Schoolbook" w:eastAsia="MS Mincho" w:hAnsi="Century Schoolbook" w:cs="Times New Roman"/>
                <w:lang w:val="en-US"/>
              </w:rPr>
              <w:t xml:space="preserve">  Arbitrators, judges, counsels</w:t>
            </w:r>
          </w:p>
          <w:p w14:paraId="146C6283" w14:textId="7A0D2866"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lastRenderedPageBreak/>
              <w:t>6.</w:t>
            </w:r>
            <w:r w:rsidR="00122B36" w:rsidRPr="00BD64FE">
              <w:rPr>
                <w:rFonts w:ascii="Century Schoolbook" w:eastAsia="MS Mincho" w:hAnsi="Century Schoolbook" w:cs="Times New Roman"/>
                <w:lang w:val="en-US"/>
              </w:rPr>
              <w:t xml:space="preserve"> Procedural rules for the institute</w:t>
            </w:r>
            <w:r w:rsidR="00D15708">
              <w:rPr>
                <w:rFonts w:ascii="Century Schoolbook" w:eastAsia="MS Mincho" w:hAnsi="Century Schoolbook" w:cs="Times New Roman"/>
                <w:lang w:val="en-US"/>
              </w:rPr>
              <w:t>s</w:t>
            </w:r>
            <w:r w:rsidR="00122B36" w:rsidRPr="00BD64FE">
              <w:rPr>
                <w:rFonts w:ascii="Century Schoolbook" w:eastAsia="MS Mincho" w:hAnsi="Century Schoolbook" w:cs="Times New Roman"/>
                <w:lang w:val="en-US"/>
              </w:rPr>
              <w:t xml:space="preserve"> and </w:t>
            </w:r>
            <w:r w:rsidR="00BD64FE" w:rsidRPr="00BD64FE">
              <w:rPr>
                <w:rFonts w:ascii="Century Schoolbook" w:eastAsia="MS Mincho" w:hAnsi="Century Schoolbook" w:cs="Times New Roman"/>
                <w:lang w:val="en-US"/>
              </w:rPr>
              <w:t>practices</w:t>
            </w:r>
            <w:r w:rsidR="00122B36" w:rsidRPr="00BD64FE">
              <w:rPr>
                <w:rFonts w:ascii="Century Schoolbook" w:eastAsia="MS Mincho" w:hAnsi="Century Schoolbook" w:cs="Times New Roman"/>
                <w:lang w:val="en-US"/>
              </w:rPr>
              <w:t xml:space="preserve"> for cooperation of counsels in multip</w:t>
            </w:r>
            <w:r w:rsidR="00BD64FE" w:rsidRPr="00BD64FE">
              <w:rPr>
                <w:rFonts w:ascii="Century Schoolbook" w:eastAsia="MS Mincho" w:hAnsi="Century Schoolbook" w:cs="Times New Roman"/>
                <w:lang w:val="en-US"/>
              </w:rPr>
              <w:t>le jurisdictions</w:t>
            </w:r>
          </w:p>
          <w:p w14:paraId="318C190E" w14:textId="238CAA5D"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7.</w:t>
            </w:r>
            <w:r w:rsidR="00BD64FE" w:rsidRPr="00BD64FE">
              <w:rPr>
                <w:rFonts w:ascii="Century Schoolbook" w:eastAsia="MS Mincho" w:hAnsi="Century Schoolbook" w:cs="Times New Roman"/>
                <w:lang w:val="en-US"/>
              </w:rPr>
              <w:t xml:space="preserve"> Emergency matters</w:t>
            </w:r>
          </w:p>
          <w:p w14:paraId="2B6A7208" w14:textId="2E8FF5D2"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8.</w:t>
            </w:r>
            <w:r w:rsidR="00BD64FE" w:rsidRPr="00BD64FE">
              <w:rPr>
                <w:rFonts w:ascii="Century Schoolbook" w:eastAsia="MS Mincho" w:hAnsi="Century Schoolbook" w:cs="Times New Roman"/>
                <w:lang w:val="en-US"/>
              </w:rPr>
              <w:t xml:space="preserve"> Evidence and consideration thereof</w:t>
            </w:r>
          </w:p>
          <w:p w14:paraId="0F2B1A0B" w14:textId="3F4A4E56"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9.</w:t>
            </w:r>
            <w:r w:rsidR="00BD64FE" w:rsidRPr="00BD64FE">
              <w:rPr>
                <w:rFonts w:ascii="Century Schoolbook" w:eastAsia="MS Mincho" w:hAnsi="Century Schoolbook" w:cs="Times New Roman"/>
                <w:lang w:val="en-US"/>
              </w:rPr>
              <w:t xml:space="preserve"> Procedural milestones</w:t>
            </w:r>
          </w:p>
          <w:p w14:paraId="0A09F399" w14:textId="7A67660C"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10.</w:t>
            </w:r>
            <w:r w:rsidR="00BD64FE" w:rsidRPr="00BD64FE">
              <w:rPr>
                <w:rFonts w:ascii="Century Schoolbook" w:eastAsia="MS Mincho" w:hAnsi="Century Schoolbook" w:cs="Times New Roman"/>
                <w:lang w:val="en-US"/>
              </w:rPr>
              <w:t xml:space="preserve"> Decision, judgment and award</w:t>
            </w:r>
          </w:p>
          <w:p w14:paraId="393D2282" w14:textId="56E3500B"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11.</w:t>
            </w:r>
            <w:r w:rsidR="00BD64FE" w:rsidRPr="00BD64FE">
              <w:rPr>
                <w:rFonts w:ascii="Century Schoolbook" w:eastAsia="MS Mincho" w:hAnsi="Century Schoolbook" w:cs="Times New Roman"/>
                <w:lang w:val="en-US"/>
              </w:rPr>
              <w:t xml:space="preserve"> Enforcement</w:t>
            </w:r>
          </w:p>
        </w:tc>
      </w:tr>
      <w:tr w:rsidR="0013685C" w:rsidRPr="00BD64FE" w14:paraId="001653A9" w14:textId="7961B462" w:rsidTr="0013685C">
        <w:trPr>
          <w:trHeight w:val="2211"/>
        </w:trPr>
        <w:tc>
          <w:tcPr>
            <w:tcW w:w="3823" w:type="dxa"/>
          </w:tcPr>
          <w:p w14:paraId="37FD00D9"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Fonts w:ascii="Century Schoolbook" w:eastAsia="MS Mincho" w:hAnsi="Century Schoolbook" w:cs="Times New Roman"/>
                <w:b/>
                <w:bCs/>
              </w:rPr>
              <w:lastRenderedPageBreak/>
              <w:t>Materials/Recommended readings</w:t>
            </w:r>
          </w:p>
        </w:tc>
        <w:tc>
          <w:tcPr>
            <w:tcW w:w="5239" w:type="dxa"/>
          </w:tcPr>
          <w:p w14:paraId="15DDBC68"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Michael L. Moffitt and Robert C. Bordone: The Handbook of the Dispute Resolution (Harvard Law School, 2005)</w:t>
            </w:r>
          </w:p>
          <w:p w14:paraId="7691915C"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Gary B. Born: International Arbitration, Cases and materials (Wolters Kluwer, 2011)</w:t>
            </w:r>
          </w:p>
          <w:p w14:paraId="49827460"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 xml:space="preserve">Lawrence W. Newman and Rikki </w:t>
            </w:r>
            <w:proofErr w:type="spellStart"/>
            <w:r w:rsidRPr="00BD64FE">
              <w:rPr>
                <w:rFonts w:ascii="Century Schoolbook" w:hAnsi="Century Schoolbook"/>
              </w:rPr>
              <w:t>Klieman</w:t>
            </w:r>
            <w:proofErr w:type="spellEnd"/>
            <w:r w:rsidRPr="00BD64FE">
              <w:rPr>
                <w:rFonts w:ascii="Century Schoolbook" w:hAnsi="Century Schoolbook"/>
              </w:rPr>
              <w:t>: Take the witness: the experts speak in cross-examination (Juris Publishing, Inc., 2006)</w:t>
            </w:r>
          </w:p>
          <w:p w14:paraId="345207AB" w14:textId="3529986B" w:rsidR="0013685C" w:rsidRPr="00BD64FE" w:rsidRDefault="0013685C" w:rsidP="00B91483">
            <w:pPr>
              <w:autoSpaceDE w:val="0"/>
              <w:autoSpaceDN w:val="0"/>
              <w:adjustRightInd w:val="0"/>
              <w:jc w:val="both"/>
              <w:rPr>
                <w:rFonts w:ascii="Century Schoolbook" w:eastAsia="MS Mincho" w:hAnsi="Century Schoolbook" w:cs="Times New Roman"/>
                <w:b/>
                <w:bCs/>
              </w:rPr>
            </w:pPr>
          </w:p>
        </w:tc>
      </w:tr>
      <w:tr w:rsidR="0013685C" w:rsidRPr="00BD64FE" w14:paraId="172F0FFF" w14:textId="49FCEC89" w:rsidTr="0013685C">
        <w:trPr>
          <w:trHeight w:val="2211"/>
        </w:trPr>
        <w:tc>
          <w:tcPr>
            <w:tcW w:w="3823" w:type="dxa"/>
          </w:tcPr>
          <w:p w14:paraId="7394312A"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Fonts w:ascii="Century Schoolbook" w:eastAsia="MS Mincho" w:hAnsi="Century Schoolbook" w:cs="Times New Roman"/>
                <w:b/>
                <w:bCs/>
              </w:rPr>
              <w:t>Assessment/Exam</w:t>
            </w:r>
          </w:p>
        </w:tc>
        <w:tc>
          <w:tcPr>
            <w:tcW w:w="5239" w:type="dxa"/>
          </w:tcPr>
          <w:p w14:paraId="070B0D34" w14:textId="21F8CC03" w:rsidR="0013685C" w:rsidRPr="00BD64FE" w:rsidRDefault="00BD64FE" w:rsidP="00B91483">
            <w:pPr>
              <w:autoSpaceDE w:val="0"/>
              <w:autoSpaceDN w:val="0"/>
              <w:adjustRightInd w:val="0"/>
              <w:jc w:val="both"/>
              <w:rPr>
                <w:rFonts w:ascii="Century Schoolbook" w:eastAsia="MS Mincho" w:hAnsi="Century Schoolbook" w:cs="Times New Roman"/>
              </w:rPr>
            </w:pPr>
            <w:r w:rsidRPr="00BD64FE">
              <w:rPr>
                <w:rFonts w:ascii="Century Schoolbook" w:eastAsia="MS Mincho" w:hAnsi="Century Schoolbook" w:cs="Times New Roman"/>
              </w:rPr>
              <w:t>Cross-examination of a potential witness</w:t>
            </w:r>
            <w:r>
              <w:rPr>
                <w:rFonts w:ascii="Century Schoolbook" w:eastAsia="MS Mincho" w:hAnsi="Century Schoolbook" w:cs="Times New Roman"/>
              </w:rPr>
              <w:t xml:space="preserve"> or expert.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A366" w14:textId="77777777" w:rsidR="007142E0" w:rsidRDefault="007142E0" w:rsidP="006A3E9F">
      <w:pPr>
        <w:spacing w:after="0" w:line="240" w:lineRule="auto"/>
      </w:pPr>
      <w:r>
        <w:separator/>
      </w:r>
    </w:p>
  </w:endnote>
  <w:endnote w:type="continuationSeparator" w:id="0">
    <w:p w14:paraId="6B56BD2E" w14:textId="77777777" w:rsidR="007142E0" w:rsidRDefault="007142E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1319" w14:textId="77777777" w:rsidR="007142E0" w:rsidRDefault="007142E0" w:rsidP="006A3E9F">
      <w:pPr>
        <w:spacing w:after="0" w:line="240" w:lineRule="auto"/>
      </w:pPr>
      <w:r>
        <w:separator/>
      </w:r>
    </w:p>
  </w:footnote>
  <w:footnote w:type="continuationSeparator" w:id="0">
    <w:p w14:paraId="394DA45E" w14:textId="77777777" w:rsidR="007142E0" w:rsidRDefault="007142E0"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B74E3C" w:rsidRDefault="00B74E3C">
    <w:pPr>
      <w:pStyle w:val="lfej"/>
    </w:pPr>
    <w:r>
      <w:rPr>
        <w:noProof/>
        <w:lang w:val="hu-HU"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6583D9F"/>
    <w:multiLevelType w:val="hybridMultilevel"/>
    <w:tmpl w:val="AB22D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A54A2"/>
    <w:rsid w:val="000B1D44"/>
    <w:rsid w:val="000E6630"/>
    <w:rsid w:val="00122B14"/>
    <w:rsid w:val="00122B36"/>
    <w:rsid w:val="001241F1"/>
    <w:rsid w:val="0013685C"/>
    <w:rsid w:val="00150056"/>
    <w:rsid w:val="00154A91"/>
    <w:rsid w:val="00171E0F"/>
    <w:rsid w:val="00177C40"/>
    <w:rsid w:val="001B3B3C"/>
    <w:rsid w:val="001E7DE8"/>
    <w:rsid w:val="0020010E"/>
    <w:rsid w:val="002105B1"/>
    <w:rsid w:val="00214377"/>
    <w:rsid w:val="00257A5E"/>
    <w:rsid w:val="0026453B"/>
    <w:rsid w:val="00275162"/>
    <w:rsid w:val="002A7467"/>
    <w:rsid w:val="002B2437"/>
    <w:rsid w:val="002C5780"/>
    <w:rsid w:val="002D4CE3"/>
    <w:rsid w:val="002F4EDE"/>
    <w:rsid w:val="00314EEA"/>
    <w:rsid w:val="00326BDD"/>
    <w:rsid w:val="00347A6B"/>
    <w:rsid w:val="00375825"/>
    <w:rsid w:val="003D6FD0"/>
    <w:rsid w:val="004459A6"/>
    <w:rsid w:val="00462CEF"/>
    <w:rsid w:val="00464EDA"/>
    <w:rsid w:val="0047089D"/>
    <w:rsid w:val="004C71B7"/>
    <w:rsid w:val="004E18B0"/>
    <w:rsid w:val="004E509C"/>
    <w:rsid w:val="005122B1"/>
    <w:rsid w:val="005155A0"/>
    <w:rsid w:val="00556081"/>
    <w:rsid w:val="00575FBE"/>
    <w:rsid w:val="005A64D8"/>
    <w:rsid w:val="00660BBE"/>
    <w:rsid w:val="006A00EE"/>
    <w:rsid w:val="006A370D"/>
    <w:rsid w:val="006A3E9F"/>
    <w:rsid w:val="006B41A4"/>
    <w:rsid w:val="0070193A"/>
    <w:rsid w:val="007142E0"/>
    <w:rsid w:val="00724AC9"/>
    <w:rsid w:val="007258B7"/>
    <w:rsid w:val="007317AD"/>
    <w:rsid w:val="00734076"/>
    <w:rsid w:val="00740F2E"/>
    <w:rsid w:val="007563EA"/>
    <w:rsid w:val="00773181"/>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F6735"/>
    <w:rsid w:val="00B1106A"/>
    <w:rsid w:val="00B5054D"/>
    <w:rsid w:val="00B6676D"/>
    <w:rsid w:val="00B74E3C"/>
    <w:rsid w:val="00B9260F"/>
    <w:rsid w:val="00BA3AB1"/>
    <w:rsid w:val="00BA6A21"/>
    <w:rsid w:val="00BB13A8"/>
    <w:rsid w:val="00BD64FE"/>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15708"/>
    <w:rsid w:val="00D22F10"/>
    <w:rsid w:val="00D23617"/>
    <w:rsid w:val="00D33DDE"/>
    <w:rsid w:val="00D56591"/>
    <w:rsid w:val="00DA041C"/>
    <w:rsid w:val="00DA3812"/>
    <w:rsid w:val="00DF137E"/>
    <w:rsid w:val="00DF6828"/>
    <w:rsid w:val="00E0037E"/>
    <w:rsid w:val="00E50966"/>
    <w:rsid w:val="00E90C54"/>
    <w:rsid w:val="00ED29E0"/>
    <w:rsid w:val="00EE36FF"/>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2B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12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kohlrusz@bktp.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FD03-2BB9-4735-83BB-DA2ACF1D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2166</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2</cp:revision>
  <dcterms:created xsi:type="dcterms:W3CDTF">2021-05-27T10:54:00Z</dcterms:created>
  <dcterms:modified xsi:type="dcterms:W3CDTF">2021-05-27T10:54:00Z</dcterms:modified>
</cp:coreProperties>
</file>