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1B643D" w:rsidRPr="001B643D" w:rsidRDefault="001B643D" w:rsidP="001B643D">
      <w:pPr>
        <w:jc w:val="center"/>
        <w:rPr>
          <w:b/>
          <w:bCs/>
          <w:sz w:val="28"/>
          <w:szCs w:val="28"/>
          <w:u w:val="single"/>
          <w:lang w:val="en-GB" w:eastAsia="hu-HU"/>
        </w:rPr>
      </w:pPr>
      <w:bookmarkStart w:id="0" w:name="_GoBack"/>
      <w:r w:rsidRPr="001B643D">
        <w:rPr>
          <w:b/>
          <w:bCs/>
          <w:sz w:val="28"/>
          <w:szCs w:val="28"/>
          <w:u w:val="single"/>
          <w:lang w:val="en-GB" w:eastAsia="hu-HU"/>
        </w:rPr>
        <w:t>Comparative Law Workshop: from Functionalism to Legal Cultures</w:t>
      </w:r>
    </w:p>
    <w:bookmarkEnd w:id="0"/>
    <w:p w:rsidR="00E6378B" w:rsidRPr="00314013" w:rsidRDefault="00E6378B" w:rsidP="00E6378B">
      <w:pPr>
        <w:jc w:val="both"/>
        <w:rPr>
          <w:b/>
        </w:rPr>
      </w:pPr>
    </w:p>
    <w:p w:rsidR="00C87CAC" w:rsidRDefault="00C87CAC" w:rsidP="001B643D">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Lecturer:</w:t>
      </w:r>
      <w:r>
        <w:rPr>
          <w:rStyle w:val="Egyiksem"/>
          <w:rFonts w:ascii="Times New Roman" w:hAnsi="Times New Roman"/>
          <w:u w:color="000000"/>
          <w14:textOutline w14:w="12700" w14:cap="flat" w14:cmpd="sng" w14:algn="ctr">
            <w14:noFill/>
            <w14:prstDash w14:val="solid"/>
            <w14:miter w14:lim="400000"/>
          </w14:textOutline>
        </w:rPr>
        <w:t xml:space="preserve"> Dr.</w:t>
      </w:r>
      <w:r w:rsidRPr="005A14B8">
        <w:rPr>
          <w:rStyle w:val="Egyiksem"/>
          <w:rFonts w:ascii="Times New Roman" w:hAnsi="Times New Roman"/>
          <w:u w:color="000000"/>
          <w14:textOutline w14:w="12700" w14:cap="flat" w14:cmpd="sng" w14:algn="ctr">
            <w14:noFill/>
            <w14:prstDash w14:val="solid"/>
            <w14:miter w14:lim="400000"/>
          </w14:textOutline>
        </w:rPr>
        <w:t xml:space="preserve"> Bal</w:t>
      </w:r>
      <w:r>
        <w:rPr>
          <w:rStyle w:val="Egyiksem"/>
          <w:rFonts w:ascii="Times New Roman" w:hAnsi="Times New Roman"/>
          <w:u w:color="000000"/>
          <w14:textOutline w14:w="12700" w14:cap="flat" w14:cmpd="sng" w14:algn="ctr">
            <w14:noFill/>
            <w14:prstDash w14:val="solid"/>
            <w14:miter w14:lim="400000"/>
          </w14:textOutline>
        </w:rPr>
        <w:t xml:space="preserve">ázs </w:t>
      </w:r>
      <w:proofErr w:type="spellStart"/>
      <w:r>
        <w:rPr>
          <w:rStyle w:val="Egyiksem"/>
          <w:rFonts w:ascii="Times New Roman" w:hAnsi="Times New Roman"/>
          <w:u w:color="000000"/>
          <w14:textOutline w14:w="12700" w14:cap="flat" w14:cmpd="sng" w14:algn="ctr">
            <w14:noFill/>
            <w14:prstDash w14:val="solid"/>
            <w14:miter w14:lim="400000"/>
          </w14:textOutline>
        </w:rPr>
        <w:t>Fekete</w:t>
      </w:r>
      <w:proofErr w:type="spellEnd"/>
      <w:r>
        <w:rPr>
          <w:rStyle w:val="Egyiksem"/>
          <w:rFonts w:ascii="Times New Roman" w:hAnsi="Times New Roman"/>
          <w:u w:color="000000"/>
          <w14:textOutline w14:w="12700" w14:cap="flat" w14:cmpd="sng" w14:algn="ctr">
            <w14:noFill/>
            <w14:prstDash w14:val="solid"/>
            <w14:miter w14:lim="400000"/>
          </w14:textOutline>
        </w:rPr>
        <w:t>,</w:t>
      </w:r>
      <w:r w:rsidR="001B643D" w:rsidRPr="001B643D">
        <w:t xml:space="preserve"> </w:t>
      </w:r>
      <w:r w:rsidR="001B643D">
        <w:rPr>
          <w:rStyle w:val="Egyiksem"/>
          <w:rFonts w:ascii="Times New Roman" w:hAnsi="Times New Roman"/>
          <w:u w:color="000000"/>
          <w14:textOutline w14:w="12700" w14:cap="flat" w14:cmpd="sng" w14:algn="ctr">
            <w14:noFill/>
            <w14:prstDash w14:val="solid"/>
            <w14:miter w14:lim="400000"/>
          </w14:textOutline>
        </w:rPr>
        <w:t>associate professor</w:t>
      </w:r>
      <w:r>
        <w:rPr>
          <w:rStyle w:val="Egyiksem"/>
          <w:rFonts w:ascii="Times New Roman" w:hAnsi="Times New Roman"/>
          <w:u w:color="000000"/>
          <w14:textOutline w14:w="12700" w14:cap="flat" w14:cmpd="sng" w14:algn="ctr">
            <w14:noFill/>
            <w14:prstDash w14:val="solid"/>
            <w14:miter w14:lim="400000"/>
          </w14:textOutline>
        </w:rPr>
        <w:t xml:space="preserve"> (Department for Theory of Law &amp; Society)</w:t>
      </w:r>
    </w:p>
    <w:p w:rsidR="00C87CAC" w:rsidRDefault="001B643D" w:rsidP="00E6378B">
      <w:pPr>
        <w:autoSpaceDE w:val="0"/>
        <w:autoSpaceDN w:val="0"/>
        <w:adjustRightInd w:val="0"/>
      </w:pPr>
      <w:hyperlink r:id="rId8" w:history="1">
        <w:r w:rsidRPr="000850F2">
          <w:rPr>
            <w:rStyle w:val="Hiperhivatkozs"/>
          </w:rPr>
          <w:t>fekete.balazs@ajk.elte.hu</w:t>
        </w:r>
      </w:hyperlink>
    </w:p>
    <w:p w:rsidR="001B643D" w:rsidRDefault="001B643D" w:rsidP="00E6378B">
      <w:pPr>
        <w:autoSpaceDE w:val="0"/>
        <w:autoSpaceDN w:val="0"/>
        <w:adjustRightInd w:val="0"/>
        <w:rPr>
          <w:color w:val="000000"/>
        </w:rPr>
      </w:pPr>
    </w:p>
    <w:p w:rsidR="001B643D" w:rsidRDefault="001B643D"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u w:color="000000"/>
          <w14:textOutline w14:w="12700" w14:cap="flat" w14:cmpd="sng" w14:algn="ctr">
            <w14:noFill/>
            <w14:prstDash w14:val="solid"/>
            <w14:miter w14:lim="400000"/>
          </w14:textOutline>
        </w:rPr>
      </w:pPr>
    </w:p>
    <w:p w:rsidR="00C87CAC" w:rsidRP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u w:color="000000"/>
          <w14:textOutline w14:w="12700" w14:cap="flat" w14:cmpd="sng" w14:algn="ctr">
            <w14:noFill/>
            <w14:prstDash w14:val="solid"/>
            <w14:miter w14:lim="400000"/>
          </w14:textOutline>
        </w:rPr>
      </w:pPr>
      <w:r w:rsidRPr="00C87CAC">
        <w:rPr>
          <w:rStyle w:val="Egyiksem"/>
          <w:rFonts w:ascii="Times New Roman" w:hAnsi="Times New Roman"/>
          <w:b/>
          <w:u w:color="000000"/>
          <w14:textOutline w14:w="12700" w14:cap="flat" w14:cmpd="sng" w14:algn="ctr">
            <w14:noFill/>
            <w14:prstDash w14:val="solid"/>
            <w14:miter w14:lim="400000"/>
          </w14:textOutline>
        </w:rPr>
        <w:t>Course description</w:t>
      </w:r>
    </w:p>
    <w:p w:rsidR="001B643D" w:rsidRPr="00503971" w:rsidRDefault="001B643D" w:rsidP="001B643D">
      <w:pPr>
        <w:ind w:firstLine="284"/>
        <w:jc w:val="center"/>
        <w:rPr>
          <w:lang w:val="en-GB"/>
        </w:rPr>
      </w:pPr>
    </w:p>
    <w:p w:rsidR="001B643D" w:rsidRPr="0090211C" w:rsidRDefault="001B643D" w:rsidP="001B643D">
      <w:pPr>
        <w:jc w:val="both"/>
        <w:rPr>
          <w:lang w:val="en-GB"/>
        </w:rPr>
      </w:pPr>
      <w:r w:rsidRPr="0090211C">
        <w:rPr>
          <w:lang w:val="en-GB"/>
        </w:rPr>
        <w:t xml:space="preserve">This course </w:t>
      </w:r>
      <w:proofErr w:type="gramStart"/>
      <w:r>
        <w:rPr>
          <w:lang w:val="en-GB"/>
        </w:rPr>
        <w:t>is dedicated</w:t>
      </w:r>
      <w:proofErr w:type="gramEnd"/>
      <w:r>
        <w:rPr>
          <w:lang w:val="en-GB"/>
        </w:rPr>
        <w:t xml:space="preserve"> to the latest methodological developments in comparative legal scholarship. Besides introducing the students to such issues such as comparative law functionalism or a comparative study of legal </w:t>
      </w:r>
      <w:proofErr w:type="gramStart"/>
      <w:r>
        <w:rPr>
          <w:lang w:val="en-GB"/>
        </w:rPr>
        <w:t>cultures</w:t>
      </w:r>
      <w:proofErr w:type="gramEnd"/>
      <w:r>
        <w:rPr>
          <w:lang w:val="en-GB"/>
        </w:rPr>
        <w:t xml:space="preserve"> it also intends to help the students in developing their own research interests and skills. Regular attendance is required and the assessment </w:t>
      </w:r>
      <w:proofErr w:type="gramStart"/>
      <w:r>
        <w:rPr>
          <w:lang w:val="en-GB"/>
        </w:rPr>
        <w:t>will be based</w:t>
      </w:r>
      <w:proofErr w:type="gramEnd"/>
      <w:r>
        <w:rPr>
          <w:lang w:val="en-GB"/>
        </w:rPr>
        <w:t xml:space="preserve"> on course participation as well as on an individual essay/presentation.</w:t>
      </w:r>
    </w:p>
    <w:p w:rsidR="001B643D" w:rsidRDefault="001B643D" w:rsidP="001B643D">
      <w:pPr>
        <w:ind w:firstLine="284"/>
        <w:jc w:val="both"/>
        <w:rPr>
          <w:u w:val="single"/>
          <w:lang w:val="en-GB"/>
        </w:rPr>
      </w:pPr>
    </w:p>
    <w:p w:rsidR="001B643D" w:rsidRPr="001B643D" w:rsidRDefault="001B643D" w:rsidP="001B643D">
      <w:pPr>
        <w:jc w:val="both"/>
        <w:rPr>
          <w:b/>
          <w:lang w:val="en-GB"/>
        </w:rPr>
      </w:pPr>
      <w:r w:rsidRPr="001B643D">
        <w:rPr>
          <w:b/>
          <w:lang w:val="en-GB"/>
        </w:rPr>
        <w:t>Learning objectives</w:t>
      </w:r>
    </w:p>
    <w:p w:rsidR="001B643D" w:rsidRDefault="001B643D" w:rsidP="001B643D">
      <w:pPr>
        <w:ind w:firstLine="284"/>
        <w:jc w:val="both"/>
        <w:rPr>
          <w:u w:val="single"/>
          <w:lang w:val="en-GB"/>
        </w:rPr>
      </w:pPr>
    </w:p>
    <w:p w:rsidR="001B643D" w:rsidRPr="00B46D27" w:rsidRDefault="001B643D" w:rsidP="001B643D">
      <w:pPr>
        <w:ind w:firstLine="284"/>
        <w:jc w:val="both"/>
        <w:rPr>
          <w:lang w:val="en-GB"/>
        </w:rPr>
      </w:pPr>
      <w:r w:rsidRPr="00B46D27">
        <w:rPr>
          <w:lang w:val="en-GB"/>
        </w:rPr>
        <w:t>-</w:t>
      </w:r>
      <w:r>
        <w:rPr>
          <w:lang w:val="en-GB"/>
        </w:rPr>
        <w:t xml:space="preserve"> </w:t>
      </w:r>
      <w:proofErr w:type="gramStart"/>
      <w:r w:rsidRPr="00B46D27">
        <w:rPr>
          <w:lang w:val="en-GB"/>
        </w:rPr>
        <w:t>to</w:t>
      </w:r>
      <w:proofErr w:type="gramEnd"/>
      <w:r w:rsidRPr="00B46D27">
        <w:rPr>
          <w:lang w:val="en-GB"/>
        </w:rPr>
        <w:t xml:space="preserve"> have a comprehensive outlook on the latest developments in comparative law scholarship</w:t>
      </w:r>
      <w:r>
        <w:rPr>
          <w:lang w:val="en-GB"/>
        </w:rPr>
        <w:t>;</w:t>
      </w:r>
    </w:p>
    <w:p w:rsidR="001B643D" w:rsidRDefault="001B643D" w:rsidP="001B643D">
      <w:pPr>
        <w:ind w:firstLine="284"/>
        <w:jc w:val="both"/>
        <w:rPr>
          <w:lang w:val="en-GB"/>
        </w:rPr>
      </w:pPr>
      <w:r>
        <w:rPr>
          <w:lang w:val="en-GB"/>
        </w:rPr>
        <w:t xml:space="preserve">- </w:t>
      </w:r>
      <w:proofErr w:type="gramStart"/>
      <w:r>
        <w:rPr>
          <w:lang w:val="en-GB"/>
        </w:rPr>
        <w:t>to</w:t>
      </w:r>
      <w:proofErr w:type="gramEnd"/>
      <w:r>
        <w:rPr>
          <w:lang w:val="en-GB"/>
        </w:rPr>
        <w:t xml:space="preserve"> study the complexity of the concept of legal culture;</w:t>
      </w:r>
    </w:p>
    <w:p w:rsidR="001B643D" w:rsidRDefault="001B643D" w:rsidP="001B643D">
      <w:pPr>
        <w:ind w:firstLine="284"/>
        <w:jc w:val="both"/>
        <w:rPr>
          <w:lang w:val="en-GB"/>
        </w:rPr>
      </w:pPr>
      <w:r>
        <w:rPr>
          <w:lang w:val="en-GB"/>
        </w:rPr>
        <w:t xml:space="preserve">- </w:t>
      </w:r>
      <w:proofErr w:type="gramStart"/>
      <w:r>
        <w:rPr>
          <w:lang w:val="en-GB"/>
        </w:rPr>
        <w:t>to</w:t>
      </w:r>
      <w:proofErr w:type="gramEnd"/>
      <w:r>
        <w:rPr>
          <w:lang w:val="en-GB"/>
        </w:rPr>
        <w:t xml:space="preserve"> introduce students to the world of comparative legal studies;</w:t>
      </w:r>
    </w:p>
    <w:p w:rsidR="001B643D" w:rsidRDefault="001B643D" w:rsidP="001B643D">
      <w:pPr>
        <w:ind w:firstLine="284"/>
        <w:jc w:val="both"/>
        <w:rPr>
          <w:u w:val="single"/>
          <w:lang w:val="en-GB"/>
        </w:rPr>
      </w:pPr>
      <w:r>
        <w:rPr>
          <w:lang w:val="en-GB"/>
        </w:rPr>
        <w:t xml:space="preserve">- </w:t>
      </w:r>
      <w:proofErr w:type="gramStart"/>
      <w:r>
        <w:rPr>
          <w:lang w:val="en-GB"/>
        </w:rPr>
        <w:t>to</w:t>
      </w:r>
      <w:proofErr w:type="gramEnd"/>
      <w:r>
        <w:rPr>
          <w:lang w:val="en-GB"/>
        </w:rPr>
        <w:t xml:space="preserve"> develop the students’ methodological sensitivity and research skills.</w:t>
      </w:r>
    </w:p>
    <w:p w:rsidR="001B643D" w:rsidRDefault="001B643D" w:rsidP="001B643D">
      <w:pPr>
        <w:ind w:firstLine="284"/>
        <w:jc w:val="both"/>
        <w:rPr>
          <w:u w:val="single"/>
          <w:lang w:val="en-GB"/>
        </w:rPr>
      </w:pPr>
    </w:p>
    <w:p w:rsidR="001B643D" w:rsidRPr="00503971" w:rsidRDefault="001B643D" w:rsidP="001B643D">
      <w:pPr>
        <w:ind w:firstLine="284"/>
        <w:jc w:val="both"/>
        <w:rPr>
          <w:lang w:val="en-GB"/>
        </w:rPr>
      </w:pPr>
      <w:r>
        <w:rPr>
          <w:u w:val="single"/>
          <w:lang w:val="en-GB"/>
        </w:rPr>
        <w:t>Learning outcomes</w:t>
      </w:r>
      <w:r w:rsidRPr="00503971">
        <w:rPr>
          <w:lang w:val="en-GB"/>
        </w:rPr>
        <w:t xml:space="preserve">: </w:t>
      </w:r>
    </w:p>
    <w:p w:rsidR="001B643D" w:rsidRPr="00503971" w:rsidRDefault="001B643D" w:rsidP="001B643D">
      <w:pPr>
        <w:ind w:firstLine="284"/>
        <w:jc w:val="both"/>
        <w:rPr>
          <w:lang w:val="en-GB"/>
        </w:rPr>
      </w:pPr>
      <w:r w:rsidRPr="00503971">
        <w:rPr>
          <w:lang w:val="en-GB"/>
        </w:rPr>
        <w:t xml:space="preserve">- </w:t>
      </w:r>
      <w:proofErr w:type="gramStart"/>
      <w:r>
        <w:rPr>
          <w:lang w:val="en-GB"/>
        </w:rPr>
        <w:t>the</w:t>
      </w:r>
      <w:proofErr w:type="gramEnd"/>
      <w:r>
        <w:rPr>
          <w:lang w:val="en-GB"/>
        </w:rPr>
        <w:t xml:space="preserve"> students will be familiarised with the latest developments in comparative law scholarship</w:t>
      </w:r>
      <w:r w:rsidRPr="00503971">
        <w:rPr>
          <w:lang w:val="en-GB"/>
        </w:rPr>
        <w:t>;</w:t>
      </w:r>
    </w:p>
    <w:p w:rsidR="001B643D" w:rsidRPr="00503971" w:rsidRDefault="001B643D" w:rsidP="001B643D">
      <w:pPr>
        <w:ind w:firstLine="284"/>
        <w:jc w:val="both"/>
        <w:rPr>
          <w:lang w:val="en-GB"/>
        </w:rPr>
      </w:pPr>
      <w:r w:rsidRPr="00503971">
        <w:rPr>
          <w:lang w:val="en-GB"/>
        </w:rPr>
        <w:t xml:space="preserve">- </w:t>
      </w:r>
      <w:proofErr w:type="gramStart"/>
      <w:r>
        <w:rPr>
          <w:lang w:val="en-GB"/>
        </w:rPr>
        <w:t>the</w:t>
      </w:r>
      <w:proofErr w:type="gramEnd"/>
      <w:r>
        <w:rPr>
          <w:lang w:val="en-GB"/>
        </w:rPr>
        <w:t xml:space="preserve"> discussion of methodological issues will help the students to develop their own research skills</w:t>
      </w:r>
      <w:r w:rsidRPr="00503971">
        <w:rPr>
          <w:lang w:val="en-GB"/>
        </w:rPr>
        <w:t>;</w:t>
      </w:r>
    </w:p>
    <w:p w:rsidR="001B643D" w:rsidRPr="00503971" w:rsidRDefault="001B643D" w:rsidP="001B643D">
      <w:pPr>
        <w:ind w:firstLine="284"/>
        <w:jc w:val="both"/>
        <w:rPr>
          <w:lang w:val="en-GB"/>
        </w:rPr>
      </w:pPr>
      <w:r w:rsidRPr="00503971">
        <w:rPr>
          <w:lang w:val="en-GB"/>
        </w:rPr>
        <w:t xml:space="preserve">- </w:t>
      </w:r>
      <w:proofErr w:type="gramStart"/>
      <w:r>
        <w:rPr>
          <w:lang w:val="en-GB"/>
        </w:rPr>
        <w:t>the</w:t>
      </w:r>
      <w:proofErr w:type="gramEnd"/>
      <w:r>
        <w:rPr>
          <w:lang w:val="en-GB"/>
        </w:rPr>
        <w:t xml:space="preserve"> students will be able to critically study the interactions among national legal orders and cultures as well as among national legal orders and supranational legal orders</w:t>
      </w:r>
      <w:r w:rsidRPr="00503971">
        <w:rPr>
          <w:lang w:val="en-GB"/>
        </w:rPr>
        <w:t>;</w:t>
      </w:r>
    </w:p>
    <w:p w:rsidR="001B643D" w:rsidRPr="00503971" w:rsidRDefault="001B643D" w:rsidP="001B643D">
      <w:pPr>
        <w:ind w:firstLine="284"/>
        <w:jc w:val="both"/>
        <w:rPr>
          <w:lang w:val="en-GB"/>
        </w:rPr>
      </w:pPr>
      <w:r w:rsidRPr="00503971">
        <w:rPr>
          <w:lang w:val="en-GB"/>
        </w:rPr>
        <w:t xml:space="preserve">- </w:t>
      </w:r>
      <w:proofErr w:type="gramStart"/>
      <w:r>
        <w:rPr>
          <w:lang w:val="en-GB"/>
        </w:rPr>
        <w:t>the</w:t>
      </w:r>
      <w:proofErr w:type="gramEnd"/>
      <w:r>
        <w:rPr>
          <w:lang w:val="en-GB"/>
        </w:rPr>
        <w:t xml:space="preserve"> students will be able to use the highly debatable concept of legal culture in comparative law inquiries. </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p>
    <w:p w:rsidR="001B643D" w:rsidRDefault="001B643D" w:rsidP="001B643D">
      <w:pPr>
        <w:jc w:val="both"/>
        <w:rPr>
          <w:b/>
          <w:lang w:val="en-GB"/>
        </w:rPr>
      </w:pPr>
      <w:r w:rsidRPr="001B643D">
        <w:rPr>
          <w:b/>
          <w:lang w:val="en-GB"/>
        </w:rPr>
        <w:t>Structure of the classes</w:t>
      </w:r>
    </w:p>
    <w:p w:rsidR="001B643D" w:rsidRDefault="001B643D" w:rsidP="001B643D">
      <w:pPr>
        <w:jc w:val="both"/>
        <w:rPr>
          <w:lang w:val="en-GB"/>
        </w:rPr>
      </w:pPr>
    </w:p>
    <w:p w:rsidR="001B643D" w:rsidRPr="00503971" w:rsidRDefault="001B643D" w:rsidP="001B643D">
      <w:pPr>
        <w:jc w:val="both"/>
        <w:rPr>
          <w:lang w:val="en-GB"/>
        </w:rPr>
      </w:pPr>
      <w:proofErr w:type="gramStart"/>
      <w:r>
        <w:rPr>
          <w:lang w:val="en-GB"/>
        </w:rPr>
        <w:t>introductory</w:t>
      </w:r>
      <w:proofErr w:type="gramEnd"/>
      <w:r>
        <w:rPr>
          <w:lang w:val="en-GB"/>
        </w:rPr>
        <w:t xml:space="preserve"> discussion</w:t>
      </w:r>
      <w:r w:rsidRPr="00503971">
        <w:rPr>
          <w:lang w:val="en-GB"/>
        </w:rPr>
        <w:t xml:space="preserve"> – </w:t>
      </w:r>
      <w:r>
        <w:rPr>
          <w:lang w:val="en-GB"/>
        </w:rPr>
        <w:t>presentation by the teacher</w:t>
      </w:r>
      <w:r w:rsidRPr="00503971">
        <w:rPr>
          <w:lang w:val="en-GB"/>
        </w:rPr>
        <w:t xml:space="preserve"> – </w:t>
      </w:r>
      <w:r>
        <w:rPr>
          <w:lang w:val="en-GB"/>
        </w:rPr>
        <w:t>group discussion based on specific class assignments</w:t>
      </w:r>
      <w:r w:rsidRPr="00503971">
        <w:rPr>
          <w:lang w:val="en-GB"/>
        </w:rPr>
        <w:t xml:space="preserve"> – </w:t>
      </w:r>
      <w:r>
        <w:rPr>
          <w:lang w:val="en-GB"/>
        </w:rPr>
        <w:t>closing reflection</w:t>
      </w:r>
    </w:p>
    <w:p w:rsidR="001B643D" w:rsidRPr="00503971" w:rsidRDefault="001B643D" w:rsidP="001B643D">
      <w:pPr>
        <w:ind w:firstLine="284"/>
        <w:jc w:val="both"/>
        <w:rPr>
          <w:lang w:val="en-GB"/>
        </w:rPr>
      </w:pPr>
    </w:p>
    <w:p w:rsidR="001B643D" w:rsidRPr="00503971" w:rsidRDefault="001B643D" w:rsidP="001B643D">
      <w:pPr>
        <w:jc w:val="both"/>
        <w:rPr>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Default="001B643D" w:rsidP="001B643D">
      <w:pPr>
        <w:jc w:val="both"/>
        <w:rPr>
          <w:u w:val="single"/>
          <w:lang w:val="en-GB"/>
        </w:rPr>
      </w:pPr>
    </w:p>
    <w:p w:rsidR="001B643D" w:rsidRPr="001B643D" w:rsidRDefault="001B643D" w:rsidP="001B643D">
      <w:pPr>
        <w:jc w:val="both"/>
        <w:rPr>
          <w:b/>
          <w:lang w:val="en-GB"/>
        </w:rPr>
      </w:pPr>
      <w:r w:rsidRPr="001B643D">
        <w:rPr>
          <w:b/>
          <w:lang w:val="en-GB"/>
        </w:rPr>
        <w:t>Course schedule</w:t>
      </w:r>
    </w:p>
    <w:p w:rsidR="001B643D" w:rsidRDefault="001B643D" w:rsidP="001B643D">
      <w:pPr>
        <w:ind w:firstLine="284"/>
        <w:jc w:val="both"/>
        <w:rPr>
          <w:lang w:val="en-GB"/>
        </w:rPr>
      </w:pPr>
    </w:p>
    <w:p w:rsidR="001B643D" w:rsidRPr="0090211C" w:rsidRDefault="001B643D" w:rsidP="001B643D">
      <w:pPr>
        <w:ind w:firstLine="284"/>
        <w:jc w:val="both"/>
        <w:rPr>
          <w:u w:val="single"/>
          <w:lang w:val="en-GB"/>
        </w:rPr>
      </w:pPr>
      <w:r w:rsidRPr="0090211C">
        <w:rPr>
          <w:u w:val="single"/>
          <w:lang w:val="en-GB"/>
        </w:rPr>
        <w:t>Class 1. Introduction</w:t>
      </w:r>
    </w:p>
    <w:p w:rsidR="001B643D" w:rsidRDefault="001B643D" w:rsidP="001B643D">
      <w:pPr>
        <w:ind w:firstLine="284"/>
        <w:jc w:val="both"/>
        <w:rPr>
          <w:lang w:val="en-GB"/>
        </w:rPr>
      </w:pPr>
    </w:p>
    <w:p w:rsidR="001B643D" w:rsidRDefault="001B643D" w:rsidP="001B643D">
      <w:pPr>
        <w:ind w:firstLine="284"/>
        <w:jc w:val="both"/>
        <w:rPr>
          <w:lang w:val="en-GB"/>
        </w:rPr>
      </w:pPr>
      <w:r>
        <w:rPr>
          <w:lang w:val="en-GB"/>
        </w:rPr>
        <w:t>Personal and professional introduction. Discussion of the course syllabus and course requirements.</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2.</w:t>
      </w:r>
      <w:r w:rsidRPr="00503971">
        <w:rPr>
          <w:u w:val="single"/>
          <w:lang w:val="en-GB"/>
        </w:rPr>
        <w:t xml:space="preserve"> </w:t>
      </w:r>
      <w:r>
        <w:rPr>
          <w:u w:val="single"/>
          <w:lang w:val="en-GB"/>
        </w:rPr>
        <w:t>Basic issues</w:t>
      </w:r>
    </w:p>
    <w:p w:rsidR="001B643D" w:rsidRPr="00503971" w:rsidRDefault="001B643D" w:rsidP="001B643D">
      <w:pPr>
        <w:ind w:firstLine="284"/>
        <w:jc w:val="both"/>
        <w:rPr>
          <w:lang w:val="en-GB"/>
        </w:rPr>
      </w:pPr>
    </w:p>
    <w:p w:rsidR="001B643D" w:rsidRDefault="001B643D" w:rsidP="001B643D">
      <w:pPr>
        <w:ind w:firstLine="284"/>
        <w:jc w:val="both"/>
        <w:rPr>
          <w:lang w:val="en-GB"/>
        </w:rPr>
      </w:pPr>
      <w:r>
        <w:rPr>
          <w:lang w:val="en-GB"/>
        </w:rPr>
        <w:t>Basics of the use of comparative method in legal scholarship, a (very) short history of modern comparative law thinking, the logical schema of comparison in the view of Viktor Knapp.</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 xml:space="preserve">: </w:t>
      </w:r>
    </w:p>
    <w:p w:rsidR="001B643D" w:rsidRPr="00503971" w:rsidRDefault="001B643D" w:rsidP="001B643D">
      <w:pPr>
        <w:ind w:firstLine="284"/>
        <w:jc w:val="both"/>
        <w:rPr>
          <w:lang w:val="en-GB"/>
        </w:rPr>
      </w:pPr>
      <w:r>
        <w:rPr>
          <w:lang w:val="en-GB"/>
        </w:rPr>
        <w:t xml:space="preserve">Balázs </w:t>
      </w:r>
      <w:proofErr w:type="spellStart"/>
      <w:r>
        <w:rPr>
          <w:lang w:val="en-GB"/>
        </w:rPr>
        <w:t>Fekete</w:t>
      </w:r>
      <w:proofErr w:type="spellEnd"/>
      <w:r w:rsidRPr="00503971">
        <w:rPr>
          <w:lang w:val="en-GB"/>
        </w:rPr>
        <w:t>:</w:t>
      </w:r>
      <w:r>
        <w:rPr>
          <w:lang w:val="en-GB"/>
        </w:rPr>
        <w:t xml:space="preserve"> </w:t>
      </w:r>
      <w:r w:rsidRPr="0055247B">
        <w:rPr>
          <w:i/>
          <w:lang w:val="en-GB"/>
        </w:rPr>
        <w:t>Paradigms in Modern European Comparative Law</w:t>
      </w:r>
      <w:r>
        <w:rPr>
          <w:lang w:val="en-GB"/>
        </w:rPr>
        <w:t>. Hart, Oxford 2021. 1-8.</w:t>
      </w:r>
      <w:r w:rsidRPr="00503971">
        <w:rPr>
          <w:lang w:val="en-GB"/>
        </w:rPr>
        <w:t xml:space="preserve"> </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3</w:t>
      </w:r>
      <w:r w:rsidRPr="00503971">
        <w:rPr>
          <w:u w:val="single"/>
          <w:lang w:val="en-GB"/>
        </w:rPr>
        <w:t xml:space="preserve">. </w:t>
      </w:r>
      <w:r>
        <w:rPr>
          <w:u w:val="single"/>
          <w:lang w:val="en-GB"/>
        </w:rPr>
        <w:t>Functionalism in comparative law</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 xml:space="preserve">Basic tenets of functional comparative law. The ideas of </w:t>
      </w:r>
      <w:proofErr w:type="spellStart"/>
      <w:r>
        <w:rPr>
          <w:lang w:val="en-GB"/>
        </w:rPr>
        <w:t>Rabel</w:t>
      </w:r>
      <w:proofErr w:type="spellEnd"/>
      <w:r>
        <w:rPr>
          <w:lang w:val="en-GB"/>
        </w:rPr>
        <w:t xml:space="preserve">. </w:t>
      </w:r>
      <w:proofErr w:type="spellStart"/>
      <w:proofErr w:type="gramStart"/>
      <w:r>
        <w:rPr>
          <w:lang w:val="en-GB"/>
        </w:rPr>
        <w:t>Zweigert’s</w:t>
      </w:r>
      <w:proofErr w:type="spellEnd"/>
      <w:r>
        <w:rPr>
          <w:lang w:val="en-GB"/>
        </w:rPr>
        <w:t xml:space="preserve"> understanding</w:t>
      </w:r>
      <w:proofErr w:type="gramEnd"/>
      <w:r>
        <w:rPr>
          <w:lang w:val="en-GB"/>
        </w:rPr>
        <w:t xml:space="preserve"> of comparative law functionalism. Frankenberg’s criticism. The successes of functionalism: the </w:t>
      </w:r>
      <w:proofErr w:type="spellStart"/>
      <w:r w:rsidRPr="0055247B">
        <w:rPr>
          <w:i/>
          <w:lang w:val="en-GB"/>
        </w:rPr>
        <w:t>Ius</w:t>
      </w:r>
      <w:proofErr w:type="spellEnd"/>
      <w:r w:rsidRPr="0055247B">
        <w:rPr>
          <w:i/>
          <w:lang w:val="en-GB"/>
        </w:rPr>
        <w:t xml:space="preserve"> Commune Casebooks</w:t>
      </w:r>
      <w:r>
        <w:rPr>
          <w:lang w:val="en-GB"/>
        </w:rPr>
        <w:t xml:space="preserve"> project.</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 xml:space="preserve">: </w:t>
      </w:r>
    </w:p>
    <w:p w:rsidR="001B643D" w:rsidRPr="00503971" w:rsidRDefault="001B643D" w:rsidP="001B643D">
      <w:pPr>
        <w:ind w:firstLine="284"/>
        <w:jc w:val="both"/>
        <w:rPr>
          <w:lang w:val="en-GB"/>
        </w:rPr>
      </w:pPr>
      <w:r w:rsidRPr="00503971">
        <w:rPr>
          <w:lang w:val="en-GB"/>
        </w:rPr>
        <w:t xml:space="preserve">Geoffrey Samuel: </w:t>
      </w:r>
      <w:r w:rsidRPr="00503971">
        <w:rPr>
          <w:i/>
          <w:lang w:val="en-GB"/>
        </w:rPr>
        <w:t>An Introduction to Comparative Law Theory and Method</w:t>
      </w:r>
      <w:r w:rsidRPr="00503971">
        <w:rPr>
          <w:lang w:val="en-GB"/>
        </w:rPr>
        <w:t>. Hart, Oxford and Portland, Oregon, 2014. 65–78.</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4</w:t>
      </w:r>
      <w:r w:rsidRPr="00503971">
        <w:rPr>
          <w:u w:val="single"/>
          <w:lang w:val="en-GB"/>
        </w:rPr>
        <w:t xml:space="preserve">. </w:t>
      </w:r>
      <w:r>
        <w:rPr>
          <w:u w:val="single"/>
          <w:lang w:val="en-GB"/>
        </w:rPr>
        <w:t>The cultural approach in comparative law</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The basic issues of culturalism in comparative law</w:t>
      </w:r>
      <w:r w:rsidRPr="00503971">
        <w:rPr>
          <w:lang w:val="en-GB"/>
        </w:rPr>
        <w:t xml:space="preserve">. </w:t>
      </w:r>
      <w:r>
        <w:rPr>
          <w:lang w:val="en-GB"/>
        </w:rPr>
        <w:t>The birth of the modern concept of legal culture</w:t>
      </w:r>
      <w:r w:rsidRPr="00503971">
        <w:rPr>
          <w:lang w:val="en-GB"/>
        </w:rPr>
        <w:t xml:space="preserve"> (Friedman); </w:t>
      </w:r>
      <w:r>
        <w:rPr>
          <w:lang w:val="en-GB"/>
        </w:rPr>
        <w:t>the necessity of empathy in comparative law</w:t>
      </w:r>
      <w:r w:rsidRPr="00503971">
        <w:rPr>
          <w:lang w:val="en-GB"/>
        </w:rPr>
        <w:t xml:space="preserve">, </w:t>
      </w:r>
      <w:r>
        <w:rPr>
          <w:lang w:val="en-GB"/>
        </w:rPr>
        <w:t xml:space="preserve">cultural comparative law as </w:t>
      </w:r>
      <w:proofErr w:type="spellStart"/>
      <w:r>
        <w:rPr>
          <w:lang w:val="en-GB"/>
        </w:rPr>
        <w:t>hermenutics</w:t>
      </w:r>
      <w:proofErr w:type="spellEnd"/>
      <w:r w:rsidRPr="00503971">
        <w:rPr>
          <w:lang w:val="en-GB"/>
        </w:rPr>
        <w:t>.</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 xml:space="preserve">: </w:t>
      </w:r>
    </w:p>
    <w:p w:rsidR="001B643D" w:rsidRPr="00503971" w:rsidRDefault="001B643D" w:rsidP="001B643D">
      <w:pPr>
        <w:ind w:firstLine="284"/>
        <w:jc w:val="both"/>
        <w:rPr>
          <w:lang w:val="en-GB"/>
        </w:rPr>
      </w:pPr>
      <w:r w:rsidRPr="00503971">
        <w:rPr>
          <w:lang w:val="en-GB"/>
        </w:rPr>
        <w:t xml:space="preserve">Geoffrey Samuel: </w:t>
      </w:r>
      <w:r w:rsidRPr="00503971">
        <w:rPr>
          <w:i/>
          <w:lang w:val="en-GB"/>
        </w:rPr>
        <w:t>An Introduction to Comparative Law Theory and Method</w:t>
      </w:r>
      <w:r w:rsidRPr="00503971">
        <w:rPr>
          <w:lang w:val="en-GB"/>
        </w:rPr>
        <w:t>. Hart, Oxford and Portland, Oregon, 2014. 108–120.</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5</w:t>
      </w:r>
      <w:r w:rsidRPr="00503971">
        <w:rPr>
          <w:u w:val="single"/>
          <w:lang w:val="en-GB"/>
        </w:rPr>
        <w:t xml:space="preserve">. </w:t>
      </w:r>
      <w:r>
        <w:rPr>
          <w:u w:val="single"/>
          <w:lang w:val="en-GB"/>
        </w:rPr>
        <w:t>Beyond the functional/cultural axis</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 xml:space="preserve">Do we really need a methodological consensus in comparative law? The “toolbox” approach of Van </w:t>
      </w:r>
      <w:proofErr w:type="spellStart"/>
      <w:r>
        <w:rPr>
          <w:lang w:val="en-GB"/>
        </w:rPr>
        <w:t>Hoecke</w:t>
      </w:r>
      <w:proofErr w:type="spellEnd"/>
      <w:r w:rsidRPr="00503971">
        <w:rPr>
          <w:lang w:val="en-GB"/>
        </w:rPr>
        <w:t xml:space="preserve">. </w:t>
      </w:r>
      <w:r>
        <w:rPr>
          <w:lang w:val="en-GB"/>
        </w:rPr>
        <w:t xml:space="preserve">The six possible method of comparative legal studies: functionalism – analytical – structural – law-in-context – historical – common core. </w:t>
      </w:r>
    </w:p>
    <w:p w:rsidR="001B643D"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 xml:space="preserve">: </w:t>
      </w:r>
    </w:p>
    <w:p w:rsidR="001B643D" w:rsidRPr="00503971" w:rsidRDefault="001B643D" w:rsidP="001B643D">
      <w:pPr>
        <w:ind w:firstLine="284"/>
        <w:jc w:val="both"/>
        <w:rPr>
          <w:lang w:val="en-GB"/>
        </w:rPr>
      </w:pPr>
      <w:r w:rsidRPr="00503971">
        <w:rPr>
          <w:lang w:val="en-GB"/>
        </w:rPr>
        <w:t xml:space="preserve">Mark van </w:t>
      </w:r>
      <w:proofErr w:type="spellStart"/>
      <w:r w:rsidRPr="00503971">
        <w:rPr>
          <w:lang w:val="en-GB"/>
        </w:rPr>
        <w:t>Hoecke</w:t>
      </w:r>
      <w:proofErr w:type="spellEnd"/>
      <w:r w:rsidRPr="00503971">
        <w:rPr>
          <w:lang w:val="en-GB"/>
        </w:rPr>
        <w:t xml:space="preserve">: Methodology of Comparative Legal Research. </w:t>
      </w:r>
      <w:r w:rsidRPr="00503971">
        <w:rPr>
          <w:i/>
          <w:lang w:val="en-GB"/>
        </w:rPr>
        <w:t>Law and Method</w:t>
      </w:r>
      <w:r w:rsidRPr="00503971">
        <w:rPr>
          <w:lang w:val="en-GB"/>
        </w:rPr>
        <w:t>, 2015/2. 1–35.</w:t>
      </w:r>
    </w:p>
    <w:p w:rsidR="001B643D" w:rsidRPr="00503971" w:rsidRDefault="001B643D" w:rsidP="001B643D">
      <w:pPr>
        <w:ind w:firstLine="284"/>
        <w:jc w:val="both"/>
        <w:rPr>
          <w:lang w:val="en-GB"/>
        </w:rPr>
      </w:pPr>
      <w:hyperlink r:id="rId9" w:history="1">
        <w:r w:rsidRPr="00503971">
          <w:rPr>
            <w:rStyle w:val="Hiperhivatkozs"/>
            <w:lang w:val="en-GB"/>
          </w:rPr>
          <w:t>https://www.bjutijdschriften.nl/tijdschrift/lawandmethod/2015/12/RENM-D-14-00001.pdf</w:t>
        </w:r>
      </w:hyperlink>
    </w:p>
    <w:p w:rsidR="001B643D" w:rsidRPr="00503971" w:rsidRDefault="001B643D" w:rsidP="001B643D">
      <w:pPr>
        <w:ind w:firstLine="284"/>
        <w:jc w:val="both"/>
        <w:rPr>
          <w:lang w:val="en-GB"/>
        </w:rPr>
      </w:pPr>
    </w:p>
    <w:p w:rsidR="001B643D" w:rsidRDefault="001B643D" w:rsidP="001B643D">
      <w:pPr>
        <w:ind w:firstLine="284"/>
        <w:jc w:val="both"/>
        <w:rPr>
          <w:u w:val="single"/>
          <w:lang w:val="en-GB"/>
        </w:rPr>
      </w:pPr>
    </w:p>
    <w:p w:rsidR="001B643D" w:rsidRDefault="001B643D" w:rsidP="001B643D">
      <w:pPr>
        <w:ind w:firstLine="284"/>
        <w:jc w:val="both"/>
        <w:rPr>
          <w:u w:val="single"/>
          <w:lang w:val="en-GB"/>
        </w:rPr>
      </w:pPr>
    </w:p>
    <w:p w:rsidR="001B643D" w:rsidRDefault="001B643D" w:rsidP="001B643D">
      <w:pPr>
        <w:ind w:firstLine="284"/>
        <w:jc w:val="both"/>
        <w:rPr>
          <w:u w:val="single"/>
          <w:lang w:val="en-GB"/>
        </w:rPr>
      </w:pPr>
    </w:p>
    <w:p w:rsidR="001B643D" w:rsidRDefault="001B643D" w:rsidP="001B643D">
      <w:pPr>
        <w:ind w:firstLine="284"/>
        <w:jc w:val="both"/>
        <w:rPr>
          <w:u w:val="single"/>
          <w:lang w:val="en-GB"/>
        </w:rPr>
      </w:pPr>
      <w:r>
        <w:rPr>
          <w:u w:val="single"/>
          <w:lang w:val="en-GB"/>
        </w:rPr>
        <w:t>Class 6</w:t>
      </w:r>
      <w:r w:rsidRPr="00503971">
        <w:rPr>
          <w:u w:val="single"/>
          <w:lang w:val="en-GB"/>
        </w:rPr>
        <w:t xml:space="preserve">. </w:t>
      </w:r>
      <w:r>
        <w:rPr>
          <w:u w:val="single"/>
          <w:lang w:val="en-GB"/>
        </w:rPr>
        <w:t>The concept of legal culture as developed by Lawrence M. Friedman</w:t>
      </w:r>
    </w:p>
    <w:p w:rsidR="001B643D" w:rsidRPr="00503971" w:rsidRDefault="001B643D" w:rsidP="001B643D">
      <w:pPr>
        <w:ind w:firstLine="284"/>
        <w:jc w:val="both"/>
        <w:rPr>
          <w:u w:val="single"/>
          <w:lang w:val="en-GB"/>
        </w:rPr>
      </w:pPr>
    </w:p>
    <w:p w:rsidR="001B643D" w:rsidRPr="00503971" w:rsidRDefault="001B643D" w:rsidP="001B643D">
      <w:pPr>
        <w:ind w:firstLine="284"/>
        <w:jc w:val="both"/>
        <w:rPr>
          <w:lang w:val="en-GB"/>
        </w:rPr>
      </w:pPr>
      <w:r>
        <w:rPr>
          <w:lang w:val="en-GB"/>
        </w:rPr>
        <w:t>The emergence of the concept of legal culture in the American legal scholarship</w:t>
      </w:r>
      <w:r w:rsidRPr="00503971">
        <w:rPr>
          <w:lang w:val="en-GB"/>
        </w:rPr>
        <w:t xml:space="preserve">, </w:t>
      </w:r>
      <w:r>
        <w:rPr>
          <w:lang w:val="en-GB"/>
        </w:rPr>
        <w:t>Friedman’s oeuvre</w:t>
      </w:r>
      <w:r w:rsidRPr="00503971">
        <w:rPr>
          <w:lang w:val="en-GB"/>
        </w:rPr>
        <w:t xml:space="preserve">, </w:t>
      </w:r>
      <w:r>
        <w:rPr>
          <w:lang w:val="en-GB"/>
        </w:rPr>
        <w:t xml:space="preserve">the role of legal culture, internal and external legal culture, the modern legal culture, criticism. </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w:t>
      </w:r>
    </w:p>
    <w:p w:rsidR="001B643D" w:rsidRPr="00503971" w:rsidRDefault="001B643D" w:rsidP="001B643D">
      <w:pPr>
        <w:ind w:firstLine="284"/>
        <w:jc w:val="both"/>
        <w:rPr>
          <w:lang w:val="en-GB"/>
        </w:rPr>
      </w:pPr>
      <w:r>
        <w:rPr>
          <w:lang w:val="en-GB"/>
        </w:rPr>
        <w:t>Lawrence M. Friedman</w:t>
      </w:r>
      <w:r w:rsidRPr="00503971">
        <w:rPr>
          <w:lang w:val="en-GB"/>
        </w:rPr>
        <w:t xml:space="preserve">: </w:t>
      </w:r>
      <w:r w:rsidRPr="00111628">
        <w:rPr>
          <w:i/>
          <w:lang w:val="en-GB"/>
        </w:rPr>
        <w:t>The Legal System. A Social Science Perspective</w:t>
      </w:r>
      <w:r>
        <w:rPr>
          <w:lang w:val="en-GB"/>
        </w:rPr>
        <w:t>. Russel Sage, New York, 1975. 193-222.</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7</w:t>
      </w:r>
      <w:r w:rsidRPr="00503971">
        <w:rPr>
          <w:u w:val="single"/>
          <w:lang w:val="en-GB"/>
        </w:rPr>
        <w:t xml:space="preserve">. </w:t>
      </w:r>
      <w:r>
        <w:rPr>
          <w:u w:val="single"/>
          <w:lang w:val="en-GB"/>
        </w:rPr>
        <w:t>How to use the concept of legal culture in legal studies?</w:t>
      </w:r>
    </w:p>
    <w:p w:rsidR="001B643D" w:rsidRPr="00503971" w:rsidRDefault="001B643D" w:rsidP="001B643D">
      <w:pPr>
        <w:ind w:firstLine="284"/>
        <w:jc w:val="both"/>
        <w:rPr>
          <w:u w:val="single"/>
          <w:lang w:val="en-GB"/>
        </w:rPr>
      </w:pPr>
    </w:p>
    <w:p w:rsidR="001B643D" w:rsidRPr="00503971" w:rsidRDefault="001B643D" w:rsidP="001B643D">
      <w:pPr>
        <w:ind w:firstLine="284"/>
        <w:jc w:val="both"/>
        <w:rPr>
          <w:lang w:val="en-GB"/>
        </w:rPr>
      </w:pPr>
      <w:r>
        <w:rPr>
          <w:lang w:val="en-GB"/>
        </w:rPr>
        <w:t xml:space="preserve">The early history of the reception of legal culture in international legal scholarship. Legal culture as background and legitimization, legal culture as a starting point for creative analyses, the difference between popular legal culture and professional legal culture, problems of using legal culture in legal scholarship. </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w:t>
      </w:r>
    </w:p>
    <w:p w:rsidR="001B643D" w:rsidRDefault="001B643D" w:rsidP="001B643D">
      <w:pPr>
        <w:ind w:firstLine="284"/>
        <w:jc w:val="both"/>
        <w:rPr>
          <w:lang w:val="en-GB"/>
        </w:rPr>
      </w:pPr>
      <w:r>
        <w:rPr>
          <w:lang w:val="en-GB"/>
        </w:rPr>
        <w:t xml:space="preserve">Lawrence M. Friedman: Law, lawyers and popular legal culture. </w:t>
      </w:r>
      <w:r w:rsidRPr="00CE0D8D">
        <w:rPr>
          <w:i/>
          <w:lang w:val="en-GB"/>
        </w:rPr>
        <w:t>Yale Law Journal</w:t>
      </w:r>
      <w:r>
        <w:rPr>
          <w:lang w:val="en-GB"/>
        </w:rPr>
        <w:t>, 1989. 1579-1606. or</w:t>
      </w:r>
    </w:p>
    <w:p w:rsidR="001B643D" w:rsidRPr="00503971" w:rsidRDefault="001B643D" w:rsidP="001B643D">
      <w:pPr>
        <w:ind w:firstLine="284"/>
        <w:jc w:val="both"/>
        <w:rPr>
          <w:lang w:val="en-GB"/>
        </w:rPr>
      </w:pPr>
      <w:r>
        <w:rPr>
          <w:lang w:val="en-GB"/>
        </w:rPr>
        <w:t xml:space="preserve">Balázs </w:t>
      </w:r>
      <w:proofErr w:type="spellStart"/>
      <w:r>
        <w:rPr>
          <w:lang w:val="en-GB"/>
        </w:rPr>
        <w:t>Fekete</w:t>
      </w:r>
      <w:proofErr w:type="spellEnd"/>
      <w:r>
        <w:rPr>
          <w:lang w:val="en-GB"/>
        </w:rPr>
        <w:t xml:space="preserve">: Inconsistencies in the use of legal culture in comparative legal studies. </w:t>
      </w:r>
      <w:r w:rsidRPr="00CE0D8D">
        <w:rPr>
          <w:i/>
          <w:lang w:val="en-GB"/>
        </w:rPr>
        <w:t>Maastricht Journal of European and Comparative Law</w:t>
      </w:r>
      <w:r>
        <w:rPr>
          <w:lang w:val="en-GB"/>
        </w:rPr>
        <w:t>, 2018/5. 551-564.</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8</w:t>
      </w:r>
      <w:r w:rsidRPr="00503971">
        <w:rPr>
          <w:u w:val="single"/>
          <w:lang w:val="en-GB"/>
        </w:rPr>
        <w:t xml:space="preserve">. </w:t>
      </w:r>
      <w:r>
        <w:rPr>
          <w:u w:val="single"/>
          <w:lang w:val="en-GB"/>
        </w:rPr>
        <w:t>Comparing European legal cultures: perspectives and problems</w:t>
      </w:r>
    </w:p>
    <w:p w:rsidR="001B643D" w:rsidRPr="00503971" w:rsidRDefault="001B643D" w:rsidP="001B643D">
      <w:pPr>
        <w:ind w:firstLine="284"/>
        <w:jc w:val="both"/>
        <w:rPr>
          <w:u w:val="single"/>
          <w:lang w:val="en-GB"/>
        </w:rPr>
      </w:pPr>
    </w:p>
    <w:p w:rsidR="001B643D" w:rsidRPr="00503971" w:rsidRDefault="001B643D" w:rsidP="001B643D">
      <w:pPr>
        <w:ind w:firstLine="284"/>
        <w:jc w:val="both"/>
        <w:rPr>
          <w:lang w:val="en-GB"/>
        </w:rPr>
      </w:pPr>
      <w:r>
        <w:rPr>
          <w:lang w:val="en-GB"/>
        </w:rPr>
        <w:t xml:space="preserve">The seminal study of Gibson and </w:t>
      </w:r>
      <w:proofErr w:type="spellStart"/>
      <w:r>
        <w:rPr>
          <w:lang w:val="en-GB"/>
        </w:rPr>
        <w:t>Caldeira</w:t>
      </w:r>
      <w:proofErr w:type="spellEnd"/>
      <w:r>
        <w:rPr>
          <w:lang w:val="en-GB"/>
        </w:rPr>
        <w:t xml:space="preserve"> on the comparative study of European legal attitudes, how to assess their findings 25 years later? Can the differences between two legal </w:t>
      </w:r>
      <w:proofErr w:type="gramStart"/>
      <w:r>
        <w:rPr>
          <w:lang w:val="en-GB"/>
        </w:rPr>
        <w:t>culture</w:t>
      </w:r>
      <w:proofErr w:type="gramEnd"/>
      <w:r>
        <w:rPr>
          <w:lang w:val="en-GB"/>
        </w:rPr>
        <w:t xml:space="preserve"> explain the relevance of legal behaviour? </w:t>
      </w:r>
      <w:proofErr w:type="spellStart"/>
      <w:r>
        <w:rPr>
          <w:lang w:val="en-GB"/>
        </w:rPr>
        <w:t>Pathbreaking</w:t>
      </w:r>
      <w:proofErr w:type="spellEnd"/>
      <w:r>
        <w:rPr>
          <w:lang w:val="en-GB"/>
        </w:rPr>
        <w:t xml:space="preserve"> answers from </w:t>
      </w:r>
      <w:proofErr w:type="spellStart"/>
      <w:r>
        <w:rPr>
          <w:lang w:val="en-GB"/>
        </w:rPr>
        <w:t>Blankenburg</w:t>
      </w:r>
      <w:proofErr w:type="spellEnd"/>
      <w:r>
        <w:rPr>
          <w:lang w:val="en-GB"/>
        </w:rPr>
        <w:t xml:space="preserve">. </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w:t>
      </w:r>
    </w:p>
    <w:p w:rsidR="001B643D" w:rsidRPr="00503971" w:rsidRDefault="001B643D" w:rsidP="001B643D">
      <w:pPr>
        <w:ind w:firstLine="284"/>
        <w:jc w:val="both"/>
        <w:rPr>
          <w:lang w:val="en-GB"/>
        </w:rPr>
      </w:pPr>
      <w:r w:rsidRPr="00503971">
        <w:rPr>
          <w:lang w:val="en-GB"/>
        </w:rPr>
        <w:t xml:space="preserve">Erhard </w:t>
      </w:r>
      <w:proofErr w:type="spellStart"/>
      <w:r w:rsidRPr="00503971">
        <w:rPr>
          <w:lang w:val="en-GB"/>
        </w:rPr>
        <w:t>Blankenburg</w:t>
      </w:r>
      <w:proofErr w:type="spellEnd"/>
      <w:r w:rsidRPr="00503971">
        <w:rPr>
          <w:lang w:val="en-GB"/>
        </w:rPr>
        <w:t xml:space="preserve">: The Infrastructure for Avoiding Civil Litigation: Comparing Cultures of Legal </w:t>
      </w:r>
      <w:proofErr w:type="spellStart"/>
      <w:r w:rsidRPr="00503971">
        <w:rPr>
          <w:lang w:val="en-GB"/>
        </w:rPr>
        <w:t>Behavior</w:t>
      </w:r>
      <w:proofErr w:type="spellEnd"/>
      <w:r w:rsidRPr="00503971">
        <w:rPr>
          <w:lang w:val="en-GB"/>
        </w:rPr>
        <w:t xml:space="preserve"> in the Netherlands and West Germany. </w:t>
      </w:r>
      <w:r w:rsidRPr="00503971">
        <w:rPr>
          <w:i/>
          <w:lang w:val="en-GB"/>
        </w:rPr>
        <w:t>Law and Society Review</w:t>
      </w:r>
      <w:r w:rsidRPr="00503971">
        <w:rPr>
          <w:lang w:val="en-GB"/>
        </w:rPr>
        <w:t>, 1994/4. 789–808.</w:t>
      </w:r>
      <w:r>
        <w:rPr>
          <w:lang w:val="en-GB"/>
        </w:rPr>
        <w:t xml:space="preserve"> </w:t>
      </w:r>
      <w:proofErr w:type="gramStart"/>
      <w:r>
        <w:rPr>
          <w:lang w:val="en-GB"/>
        </w:rPr>
        <w:t>or</w:t>
      </w:r>
      <w:proofErr w:type="gramEnd"/>
    </w:p>
    <w:p w:rsidR="001B643D" w:rsidRPr="00503971" w:rsidRDefault="001B643D" w:rsidP="001B643D">
      <w:pPr>
        <w:ind w:firstLine="284"/>
        <w:jc w:val="both"/>
        <w:rPr>
          <w:lang w:val="en-GB"/>
        </w:rPr>
      </w:pPr>
      <w:r w:rsidRPr="00503971">
        <w:rPr>
          <w:lang w:val="en-GB"/>
        </w:rPr>
        <w:t xml:space="preserve">James L. Gibson-Gregory A. </w:t>
      </w:r>
      <w:proofErr w:type="spellStart"/>
      <w:r w:rsidRPr="00503971">
        <w:rPr>
          <w:lang w:val="en-GB"/>
        </w:rPr>
        <w:t>Caldeira</w:t>
      </w:r>
      <w:proofErr w:type="spellEnd"/>
      <w:r w:rsidRPr="00503971">
        <w:rPr>
          <w:lang w:val="en-GB"/>
        </w:rPr>
        <w:t xml:space="preserve">: The Legal Cultures of Europe. </w:t>
      </w:r>
      <w:r w:rsidRPr="00503971">
        <w:rPr>
          <w:i/>
          <w:lang w:val="en-GB"/>
        </w:rPr>
        <w:t>Law and Society Review</w:t>
      </w:r>
      <w:r w:rsidRPr="00503971">
        <w:rPr>
          <w:lang w:val="en-GB"/>
        </w:rPr>
        <w:t>, 1996/1. 55–86.</w:t>
      </w:r>
    </w:p>
    <w:p w:rsidR="001B643D" w:rsidRPr="00503971" w:rsidRDefault="001B643D" w:rsidP="001B643D">
      <w:pPr>
        <w:ind w:firstLine="284"/>
        <w:jc w:val="both"/>
        <w:rPr>
          <w:lang w:val="en-GB"/>
        </w:rPr>
      </w:pPr>
    </w:p>
    <w:p w:rsidR="001B643D" w:rsidRPr="00503971" w:rsidRDefault="001B643D" w:rsidP="001B643D">
      <w:pPr>
        <w:ind w:firstLine="284"/>
        <w:jc w:val="both"/>
        <w:rPr>
          <w:u w:val="single"/>
          <w:lang w:val="en-GB"/>
        </w:rPr>
      </w:pPr>
      <w:r>
        <w:rPr>
          <w:u w:val="single"/>
          <w:lang w:val="en-GB"/>
        </w:rPr>
        <w:t>Class 9</w:t>
      </w:r>
      <w:r w:rsidRPr="00503971">
        <w:rPr>
          <w:u w:val="single"/>
          <w:lang w:val="en-GB"/>
        </w:rPr>
        <w:t xml:space="preserve">. </w:t>
      </w:r>
      <w:r>
        <w:rPr>
          <w:u w:val="single"/>
          <w:lang w:val="en-GB"/>
        </w:rPr>
        <w:t>Style in legal scholarship</w:t>
      </w:r>
      <w:r w:rsidRPr="00503971">
        <w:rPr>
          <w:u w:val="single"/>
          <w:lang w:val="en-GB"/>
        </w:rPr>
        <w:t>?</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 xml:space="preserve">May an act or a judgement have any kind of style? The concept of style in the interpretation of </w:t>
      </w:r>
      <w:proofErr w:type="spellStart"/>
      <w:r>
        <w:rPr>
          <w:lang w:val="en-GB"/>
        </w:rPr>
        <w:t>Zweigert</w:t>
      </w:r>
      <w:proofErr w:type="spellEnd"/>
      <w:r>
        <w:rPr>
          <w:lang w:val="en-GB"/>
        </w:rPr>
        <w:t xml:space="preserve">. The idea of judicial style. The comparison of various judicial styles (English, French, ex-Soviet, and Hungarian). </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w:t>
      </w:r>
    </w:p>
    <w:p w:rsidR="001B643D" w:rsidRPr="00503971" w:rsidRDefault="001B643D" w:rsidP="001B643D">
      <w:pPr>
        <w:ind w:firstLine="284"/>
        <w:jc w:val="both"/>
        <w:rPr>
          <w:lang w:val="en-GB"/>
        </w:rPr>
      </w:pPr>
      <w:r w:rsidRPr="00503971">
        <w:rPr>
          <w:lang w:val="en-GB"/>
        </w:rPr>
        <w:t xml:space="preserve">Bernard </w:t>
      </w:r>
      <w:proofErr w:type="spellStart"/>
      <w:r w:rsidRPr="00503971">
        <w:rPr>
          <w:lang w:val="en-GB"/>
        </w:rPr>
        <w:t>Rudden</w:t>
      </w:r>
      <w:proofErr w:type="spellEnd"/>
      <w:r w:rsidRPr="00503971">
        <w:rPr>
          <w:lang w:val="en-GB"/>
        </w:rPr>
        <w:t xml:space="preserve">: </w:t>
      </w:r>
      <w:r>
        <w:rPr>
          <w:lang w:val="en-GB"/>
        </w:rPr>
        <w:t xml:space="preserve">Courts and Codes in England, France and Soviet Russia. </w:t>
      </w:r>
      <w:r w:rsidRPr="00BB725D">
        <w:rPr>
          <w:i/>
          <w:lang w:val="en-GB"/>
        </w:rPr>
        <w:t>Tulane Law Review</w:t>
      </w:r>
      <w:r>
        <w:rPr>
          <w:lang w:val="en-GB"/>
        </w:rPr>
        <w:t>, 1974. 1010-1028.</w:t>
      </w:r>
    </w:p>
    <w:p w:rsidR="001B643D" w:rsidRPr="00503971" w:rsidRDefault="001B643D" w:rsidP="001B643D">
      <w:pPr>
        <w:ind w:firstLine="284"/>
        <w:jc w:val="both"/>
        <w:rPr>
          <w:lang w:val="en-GB"/>
        </w:rPr>
      </w:pPr>
    </w:p>
    <w:p w:rsidR="001B643D" w:rsidRDefault="001B643D" w:rsidP="001B643D">
      <w:pPr>
        <w:ind w:firstLine="284"/>
        <w:jc w:val="both"/>
        <w:rPr>
          <w:u w:val="single"/>
          <w:lang w:val="en-GB"/>
        </w:rPr>
      </w:pPr>
    </w:p>
    <w:p w:rsidR="001B643D" w:rsidRDefault="001B643D" w:rsidP="001B643D">
      <w:pPr>
        <w:ind w:firstLine="284"/>
        <w:jc w:val="both"/>
        <w:rPr>
          <w:u w:val="single"/>
          <w:lang w:val="en-GB"/>
        </w:rPr>
      </w:pPr>
    </w:p>
    <w:p w:rsidR="001B643D" w:rsidRDefault="001B643D" w:rsidP="001B643D">
      <w:pPr>
        <w:ind w:firstLine="284"/>
        <w:jc w:val="both"/>
        <w:rPr>
          <w:u w:val="single"/>
          <w:lang w:val="en-GB"/>
        </w:rPr>
      </w:pPr>
    </w:p>
    <w:p w:rsidR="001B643D" w:rsidRDefault="001B643D" w:rsidP="001B643D">
      <w:pPr>
        <w:ind w:firstLine="284"/>
        <w:jc w:val="both"/>
        <w:rPr>
          <w:u w:val="single"/>
          <w:lang w:val="en-GB"/>
        </w:rPr>
      </w:pPr>
    </w:p>
    <w:p w:rsidR="001B643D" w:rsidRPr="00503971" w:rsidRDefault="001B643D" w:rsidP="001B643D">
      <w:pPr>
        <w:ind w:firstLine="284"/>
        <w:jc w:val="both"/>
        <w:rPr>
          <w:u w:val="single"/>
          <w:lang w:val="en-GB"/>
        </w:rPr>
      </w:pPr>
      <w:r>
        <w:rPr>
          <w:u w:val="single"/>
          <w:lang w:val="en-GB"/>
        </w:rPr>
        <w:t>Class 10</w:t>
      </w:r>
      <w:r w:rsidRPr="00503971">
        <w:rPr>
          <w:u w:val="single"/>
          <w:lang w:val="en-GB"/>
        </w:rPr>
        <w:t xml:space="preserve">. </w:t>
      </w:r>
      <w:r>
        <w:rPr>
          <w:u w:val="single"/>
          <w:lang w:val="en-GB"/>
        </w:rPr>
        <w:t>The issue of legal transplants and legal convergence</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 xml:space="preserve">The concept of legal transplants and its ways. The circulation of Western legal models in the former socialist area. Is there any kind of convergence between civil law and common law? Pro and con arguments. </w:t>
      </w:r>
    </w:p>
    <w:p w:rsidR="001B643D" w:rsidRPr="00503971" w:rsidRDefault="001B643D" w:rsidP="001B643D">
      <w:pPr>
        <w:ind w:firstLine="284"/>
        <w:jc w:val="both"/>
        <w:rPr>
          <w:lang w:val="en-GB"/>
        </w:rPr>
      </w:pPr>
    </w:p>
    <w:p w:rsidR="001B643D" w:rsidRPr="00503971" w:rsidRDefault="001B643D" w:rsidP="001B643D">
      <w:pPr>
        <w:ind w:firstLine="284"/>
        <w:jc w:val="both"/>
        <w:rPr>
          <w:lang w:val="en-GB"/>
        </w:rPr>
      </w:pPr>
      <w:r>
        <w:rPr>
          <w:lang w:val="en-GB"/>
        </w:rPr>
        <w:t>Reading</w:t>
      </w:r>
      <w:r w:rsidRPr="00503971">
        <w:rPr>
          <w:lang w:val="en-GB"/>
        </w:rPr>
        <w:t>:</w:t>
      </w:r>
    </w:p>
    <w:p w:rsidR="001B643D" w:rsidRPr="00503971" w:rsidRDefault="001B643D" w:rsidP="001B643D">
      <w:pPr>
        <w:ind w:firstLine="284"/>
        <w:jc w:val="both"/>
        <w:rPr>
          <w:lang w:val="en-GB"/>
        </w:rPr>
      </w:pPr>
      <w:r w:rsidRPr="00503971">
        <w:rPr>
          <w:lang w:val="en-GB"/>
        </w:rPr>
        <w:t xml:space="preserve">Mathias </w:t>
      </w:r>
      <w:proofErr w:type="spellStart"/>
      <w:r w:rsidRPr="00503971">
        <w:rPr>
          <w:lang w:val="en-GB"/>
        </w:rPr>
        <w:t>Siems</w:t>
      </w:r>
      <w:proofErr w:type="spellEnd"/>
      <w:r w:rsidRPr="00503971">
        <w:rPr>
          <w:lang w:val="en-GB"/>
        </w:rPr>
        <w:t xml:space="preserve">: </w:t>
      </w:r>
      <w:r w:rsidRPr="00503971">
        <w:rPr>
          <w:i/>
          <w:lang w:val="en-GB"/>
        </w:rPr>
        <w:t>Comparative Law</w:t>
      </w:r>
      <w:r w:rsidRPr="00503971">
        <w:rPr>
          <w:lang w:val="en-GB"/>
        </w:rPr>
        <w:t>. Cambridge University Press, Cambridge, 2014. 233–242.</w:t>
      </w:r>
    </w:p>
    <w:p w:rsidR="001B643D" w:rsidRPr="00503971" w:rsidRDefault="001B643D" w:rsidP="001B643D">
      <w:pPr>
        <w:ind w:firstLine="284"/>
        <w:jc w:val="both"/>
        <w:rPr>
          <w:lang w:val="en-GB"/>
        </w:rPr>
      </w:pPr>
    </w:p>
    <w:p w:rsidR="001B643D" w:rsidRDefault="001B643D" w:rsidP="001B643D">
      <w:pPr>
        <w:ind w:firstLine="284"/>
        <w:jc w:val="both"/>
        <w:rPr>
          <w:u w:val="single"/>
          <w:lang w:val="en-GB"/>
        </w:rPr>
      </w:pPr>
      <w:r>
        <w:rPr>
          <w:u w:val="single"/>
          <w:lang w:val="en-GB"/>
        </w:rPr>
        <w:t>Class 11. Individual research project discussion</w:t>
      </w:r>
    </w:p>
    <w:p w:rsidR="001B643D" w:rsidRDefault="001B643D" w:rsidP="001B643D">
      <w:pPr>
        <w:ind w:firstLine="284"/>
        <w:jc w:val="both"/>
        <w:rPr>
          <w:u w:val="single"/>
          <w:lang w:val="en-GB"/>
        </w:rPr>
      </w:pPr>
    </w:p>
    <w:p w:rsidR="001B643D" w:rsidRPr="00503971" w:rsidRDefault="001B643D" w:rsidP="001B643D">
      <w:pPr>
        <w:ind w:firstLine="284"/>
        <w:jc w:val="both"/>
        <w:rPr>
          <w:u w:val="single"/>
          <w:lang w:val="en-GB"/>
        </w:rPr>
      </w:pPr>
      <w:r>
        <w:rPr>
          <w:u w:val="single"/>
          <w:lang w:val="en-GB"/>
        </w:rPr>
        <w:t>Class 12. Closing of the course: Presentation of individual research project outcomes and group discussion</w:t>
      </w:r>
    </w:p>
    <w:p w:rsidR="001B643D" w:rsidRDefault="001B643D" w:rsidP="001B643D">
      <w:pPr>
        <w:jc w:val="both"/>
        <w:rPr>
          <w:color w:val="000000"/>
        </w:rPr>
      </w:pPr>
    </w:p>
    <w:p w:rsidR="001B643D" w:rsidRDefault="001B643D" w:rsidP="001B643D">
      <w:pPr>
        <w:jc w:val="both"/>
        <w:rPr>
          <w:color w:val="000000"/>
        </w:rPr>
      </w:pPr>
    </w:p>
    <w:p w:rsidR="001B643D" w:rsidRDefault="001B643D" w:rsidP="001B643D">
      <w:pPr>
        <w:jc w:val="both"/>
        <w:rPr>
          <w:b/>
          <w:lang w:val="en-GB"/>
        </w:rPr>
      </w:pPr>
      <w:r w:rsidRPr="001B643D">
        <w:rPr>
          <w:b/>
          <w:lang w:val="en-GB"/>
        </w:rPr>
        <w:t>Assessment</w:t>
      </w:r>
    </w:p>
    <w:p w:rsidR="001B643D" w:rsidRDefault="001B643D" w:rsidP="001B643D">
      <w:pPr>
        <w:jc w:val="both"/>
        <w:rPr>
          <w:b/>
          <w:lang w:val="en-GB"/>
        </w:rPr>
      </w:pPr>
    </w:p>
    <w:p w:rsidR="001B643D" w:rsidRPr="00503971" w:rsidRDefault="001B643D" w:rsidP="001B643D">
      <w:pPr>
        <w:jc w:val="both"/>
        <w:rPr>
          <w:lang w:val="en-GB"/>
        </w:rPr>
      </w:pPr>
      <w:proofErr w:type="gramStart"/>
      <w:r>
        <w:rPr>
          <w:lang w:val="en-GB"/>
        </w:rPr>
        <w:t>course</w:t>
      </w:r>
      <w:proofErr w:type="gramEnd"/>
      <w:r>
        <w:rPr>
          <w:lang w:val="en-GB"/>
        </w:rPr>
        <w:t xml:space="preserve"> participation and essay writing or individual research project presentation (10 </w:t>
      </w:r>
      <w:proofErr w:type="spellStart"/>
      <w:r>
        <w:rPr>
          <w:lang w:val="en-GB"/>
        </w:rPr>
        <w:t>mins</w:t>
      </w:r>
      <w:proofErr w:type="spellEnd"/>
      <w:r>
        <w:rPr>
          <w:lang w:val="en-GB"/>
        </w:rPr>
        <w:t>) on the last class</w:t>
      </w:r>
    </w:p>
    <w:p w:rsidR="001B643D" w:rsidRPr="00314013" w:rsidRDefault="001B643D" w:rsidP="00C87CAC">
      <w:pPr>
        <w:spacing w:after="120" w:line="320" w:lineRule="exact"/>
        <w:jc w:val="both"/>
        <w:rPr>
          <w:color w:val="000000"/>
        </w:rPr>
      </w:pPr>
    </w:p>
    <w:sectPr w:rsidR="001B643D" w:rsidRPr="00314013" w:rsidSect="00B926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66" w:rsidRDefault="00BF7266" w:rsidP="006A3E9F">
      <w:r>
        <w:separator/>
      </w:r>
    </w:p>
  </w:endnote>
  <w:endnote w:type="continuationSeparator" w:id="0">
    <w:p w:rsidR="00BF7266" w:rsidRDefault="00BF7266"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66" w:rsidRDefault="00BF7266" w:rsidP="006A3E9F">
      <w:r>
        <w:separator/>
      </w:r>
    </w:p>
  </w:footnote>
  <w:footnote w:type="continuationSeparator" w:id="0">
    <w:p w:rsidR="00BF7266" w:rsidRDefault="00BF7266"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637"/>
    <w:multiLevelType w:val="hybridMultilevel"/>
    <w:tmpl w:val="9B7690E4"/>
    <w:styleLink w:val="Felsorolsjel"/>
    <w:lvl w:ilvl="0" w:tplc="E390A9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52F3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6CAF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109FD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BA3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74417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408D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BC63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4565E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4D753AA0"/>
    <w:multiLevelType w:val="hybridMultilevel"/>
    <w:tmpl w:val="9B7690E4"/>
    <w:numStyleLink w:val="Felsorolsjel"/>
  </w:abstractNum>
  <w:abstractNum w:abstractNumId="6"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6581"/>
    <w:rsid w:val="00031F56"/>
    <w:rsid w:val="0008349D"/>
    <w:rsid w:val="000E6630"/>
    <w:rsid w:val="00122B14"/>
    <w:rsid w:val="001241F1"/>
    <w:rsid w:val="00154A91"/>
    <w:rsid w:val="001B643D"/>
    <w:rsid w:val="00214377"/>
    <w:rsid w:val="00275162"/>
    <w:rsid w:val="002A7467"/>
    <w:rsid w:val="002D4CE3"/>
    <w:rsid w:val="002F0D36"/>
    <w:rsid w:val="002F4EDE"/>
    <w:rsid w:val="00347A6B"/>
    <w:rsid w:val="00375825"/>
    <w:rsid w:val="003D6FD0"/>
    <w:rsid w:val="004459A6"/>
    <w:rsid w:val="00462CEF"/>
    <w:rsid w:val="004C71B7"/>
    <w:rsid w:val="004E18B0"/>
    <w:rsid w:val="0052058A"/>
    <w:rsid w:val="005216E0"/>
    <w:rsid w:val="00556081"/>
    <w:rsid w:val="00575FBE"/>
    <w:rsid w:val="00591E26"/>
    <w:rsid w:val="005A64D8"/>
    <w:rsid w:val="006A370D"/>
    <w:rsid w:val="006A3E9F"/>
    <w:rsid w:val="006B41A4"/>
    <w:rsid w:val="0070193A"/>
    <w:rsid w:val="007258B7"/>
    <w:rsid w:val="007317AD"/>
    <w:rsid w:val="00754244"/>
    <w:rsid w:val="00787F9D"/>
    <w:rsid w:val="008B251A"/>
    <w:rsid w:val="008C6F6E"/>
    <w:rsid w:val="008E334E"/>
    <w:rsid w:val="00907F12"/>
    <w:rsid w:val="0091411C"/>
    <w:rsid w:val="0093128C"/>
    <w:rsid w:val="00957CD4"/>
    <w:rsid w:val="009C4E1D"/>
    <w:rsid w:val="00A34386"/>
    <w:rsid w:val="00A40DF6"/>
    <w:rsid w:val="00A66710"/>
    <w:rsid w:val="00AC6C31"/>
    <w:rsid w:val="00B1106A"/>
    <w:rsid w:val="00B9260F"/>
    <w:rsid w:val="00BF7266"/>
    <w:rsid w:val="00C0178E"/>
    <w:rsid w:val="00C17BC8"/>
    <w:rsid w:val="00C6762B"/>
    <w:rsid w:val="00C8090E"/>
    <w:rsid w:val="00C87CAC"/>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C5F8"/>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Alaprtelmezett">
    <w:name w:val="Alapértelmezett"/>
    <w:rsid w:val="00C87C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Egyiksem">
    <w:name w:val="Egyik sem"/>
    <w:rsid w:val="00C87CAC"/>
    <w:rPr>
      <w:lang w:val="en-US"/>
    </w:rPr>
  </w:style>
  <w:style w:type="numbering" w:customStyle="1" w:styleId="Felsorolsjel">
    <w:name w:val="Felsorolásjel"/>
    <w:rsid w:val="00C87CA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kete.balazs@ajk.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jutijdschriften.nl/tijdschrift/lawandmethod/2015/12/RENM-D-14-00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CB70-52CD-47B2-908A-307CC828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5450</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2</cp:revision>
  <dcterms:created xsi:type="dcterms:W3CDTF">2021-05-27T11:29:00Z</dcterms:created>
  <dcterms:modified xsi:type="dcterms:W3CDTF">2021-05-27T11:29:00Z</dcterms:modified>
</cp:coreProperties>
</file>