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07" w:rsidRPr="00DE3B07" w:rsidRDefault="00DE3B07" w:rsidP="00DE3B07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r w:rsidRPr="00DE3B07">
        <w:rPr>
          <w:b/>
          <w:sz w:val="28"/>
          <w:szCs w:val="28"/>
          <w:u w:val="single"/>
        </w:rPr>
        <w:t>International and European personal data protection law</w:t>
      </w:r>
    </w:p>
    <w:bookmarkEnd w:id="0"/>
    <w:p w:rsidR="00DE3B07" w:rsidRDefault="00DE3B07" w:rsidP="00DE3B07">
      <w:pPr>
        <w:spacing w:line="360" w:lineRule="auto"/>
        <w:rPr>
          <w:rFonts w:ascii="Arial" w:hAnsi="Arial" w:cs="Arial"/>
          <w:sz w:val="20"/>
          <w:szCs w:val="20"/>
        </w:rPr>
      </w:pPr>
    </w:p>
    <w:p w:rsidR="00DE3B07" w:rsidRDefault="00DE3B07" w:rsidP="00DE3B07">
      <w:pPr>
        <w:spacing w:line="360" w:lineRule="auto"/>
        <w:rPr>
          <w:rFonts w:ascii="Arial" w:hAnsi="Arial" w:cs="Arial"/>
          <w:sz w:val="20"/>
          <w:szCs w:val="20"/>
        </w:rPr>
      </w:pPr>
    </w:p>
    <w:p w:rsidR="00DE3B07" w:rsidRDefault="00DE3B07" w:rsidP="00DE3B07">
      <w:pPr>
        <w:spacing w:line="360" w:lineRule="auto"/>
      </w:pPr>
      <w:r w:rsidRPr="00DE3B07">
        <w:rPr>
          <w:b/>
        </w:rPr>
        <w:t>Lecturer</w:t>
      </w:r>
      <w:r w:rsidRPr="00DE3B07">
        <w:t xml:space="preserve">: Mateusz Gędźba </w:t>
      </w:r>
      <w:r>
        <w:t>–</w:t>
      </w:r>
      <w:r w:rsidRPr="00DE3B07">
        <w:t xml:space="preserve"> Krakow</w:t>
      </w:r>
    </w:p>
    <w:p w:rsidR="00DE3B07" w:rsidRPr="00DE3B07" w:rsidRDefault="00DE3B07" w:rsidP="00DE3B07">
      <w:pPr>
        <w:spacing w:line="360" w:lineRule="auto"/>
      </w:pPr>
      <w:r>
        <w:t xml:space="preserve">2 weeks long block seminar </w:t>
      </w:r>
      <w:proofErr w:type="spellStart"/>
      <w:r>
        <w:t>devided</w:t>
      </w:r>
      <w:proofErr w:type="spellEnd"/>
      <w:r>
        <w:t xml:space="preserve"> into 2 </w:t>
      </w:r>
      <w:proofErr w:type="gramStart"/>
      <w:r>
        <w:t>on</w:t>
      </w:r>
      <w:r w:rsidR="00066229">
        <w:t>e week</w:t>
      </w:r>
      <w:proofErr w:type="gramEnd"/>
      <w:r w:rsidR="00066229">
        <w:t xml:space="preserve"> long </w:t>
      </w:r>
      <w:proofErr w:type="spellStart"/>
      <w:r w:rsidR="00066229">
        <w:t>moduls</w:t>
      </w:r>
      <w:proofErr w:type="spellEnd"/>
      <w:r w:rsidR="00066229">
        <w:t xml:space="preserve"> over the spring</w:t>
      </w:r>
      <w:r>
        <w:t xml:space="preserve"> semester</w:t>
      </w:r>
    </w:p>
    <w:p w:rsidR="00DE3B07" w:rsidRPr="00DE3B07" w:rsidRDefault="00DE3B07" w:rsidP="00DE3B07">
      <w:pPr>
        <w:spacing w:line="360" w:lineRule="auto"/>
        <w:rPr>
          <w:u w:val="single"/>
        </w:rPr>
      </w:pPr>
    </w:p>
    <w:p w:rsidR="00DE3B07" w:rsidRPr="00DE3B07" w:rsidRDefault="00DE3B07" w:rsidP="00DE3B07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u w:val="single"/>
          <w:lang w:val="en-US"/>
        </w:rPr>
        <w:t>International personal data protection law</w:t>
      </w:r>
    </w:p>
    <w:p w:rsidR="00DE3B07" w:rsidRPr="00DE3B07" w:rsidRDefault="00DE3B07" w:rsidP="00DE3B07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Soft law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OECD guidelines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Recommendations issued by Council of Europe Committee of Ministers (example: Recommendation Rec(2010)13 to member states on the protection of individuals with regard to automatic processing of personal data in the context of profiling (Profiling Recommendation), 23 November 2010)</w:t>
      </w:r>
    </w:p>
    <w:p w:rsidR="00DE3B07" w:rsidRPr="00DE3B07" w:rsidRDefault="00DE3B07" w:rsidP="00DE3B07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Hard law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European Convention on Human Rights: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Description of relevant regulations (e.g. Article 8)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Case law of European Court of Human Rights – the landmark cases: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Axel Springer AG v. Germany (Application no. </w:t>
      </w:r>
      <w:hyperlink r:id="rId7" w:anchor="%7B%22appno%22:[%2239954/08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39954/08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 – balance between the right to data protection and freedom of expression;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Mosley v. The United Kingdom (Application no. </w:t>
      </w:r>
      <w:hyperlink r:id="rId8" w:anchor="%7B%22appno%22:[%2248009/08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48009/08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 – balance between the right to data protection and freedom of expression;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Biriuk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Lithuania (Application no. No. 23373/03) - balance between the right to data protection and freedom of expression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Vereinigung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Bildender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Künstler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Austria (Application no. </w:t>
      </w:r>
      <w:hyperlink r:id="rId9" w:anchor="%7B%22appno%22:[%2268354/01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68354/01</w:t>
        </w:r>
      </w:hyperlink>
      <w:r w:rsidRPr="00DE3B07">
        <w:rPr>
          <w:rFonts w:ascii="Times New Roman" w:hAnsi="Times New Roman" w:cs="Times New Roman"/>
          <w:sz w:val="24"/>
          <w:szCs w:val="24"/>
          <w:lang w:val="en-US"/>
        </w:rPr>
        <w:t>)– balance between the right to data protection and freedom of arts and sciences;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Társaság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Szabadságjogokért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Hungary (Application no. </w:t>
      </w:r>
      <w:hyperlink r:id="rId10" w:anchor="%7B%22appno%22:[%2237374/05%22]%7D" w:tgtFrame="_blank" w:history="1">
        <w:r w:rsidRPr="00DE3B07">
          <w:rPr>
            <w:rFonts w:ascii="Times New Roman" w:hAnsi="Times New Roman" w:cs="Times New Roman"/>
            <w:sz w:val="24"/>
            <w:szCs w:val="24"/>
            <w:lang w:val="en-US"/>
          </w:rPr>
          <w:t>37374/05</w:t>
        </w:r>
      </w:hyperlink>
      <w:proofErr w:type="gramStart"/>
      <w:r w:rsidRPr="00DE3B07">
        <w:rPr>
          <w:rFonts w:ascii="Times New Roman" w:hAnsi="Times New Roman" w:cs="Times New Roman"/>
          <w:sz w:val="24"/>
          <w:szCs w:val="24"/>
          <w:lang w:val="en-US"/>
        </w:rPr>
        <w:t>)–</w:t>
      </w:r>
      <w:proofErr w:type="gram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balance between the right to data protection and the right of access to documents.;</w:t>
      </w:r>
    </w:p>
    <w:p w:rsidR="00DE3B07" w:rsidRPr="00DE3B07" w:rsidRDefault="00DE3B07" w:rsidP="00DE3B07">
      <w:pPr>
        <w:pStyle w:val="Listaszerbekezds"/>
        <w:numPr>
          <w:ilvl w:val="3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Vereinigung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bildender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Künstler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v. Austria (Application no. No. 68345/01) - balance between the right to data protection and the freedom of the arts and sciences</w:t>
      </w:r>
    </w:p>
    <w:p w:rsidR="00DE3B07" w:rsidRPr="00DE3B07" w:rsidRDefault="00DE3B07" w:rsidP="00DE3B07">
      <w:pPr>
        <w:pStyle w:val="Listaszerbekezds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Council of Europe Convention n° 108 and its amendments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History and territorial scope of the convention, it’s global character,</w:t>
      </w:r>
    </w:p>
    <w:p w:rsidR="00DE3B07" w:rsidRPr="00DE3B07" w:rsidRDefault="00DE3B07" w:rsidP="00DE3B07">
      <w:pPr>
        <w:pStyle w:val="Listaszerbekezds"/>
        <w:numPr>
          <w:ilvl w:val="2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New draft of amending Protocol (published after the session of Committee of Ministers on 17 – 18 May 2018).</w:t>
      </w:r>
    </w:p>
    <w:p w:rsidR="00DE3B07" w:rsidRPr="00DE3B07" w:rsidRDefault="00DE3B07" w:rsidP="00DE3B07">
      <w:pPr>
        <w:pStyle w:val="Listaszerbekezds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DE3B07" w:rsidRPr="00DE3B07" w:rsidRDefault="00DE3B07" w:rsidP="00DE3B07">
      <w:pPr>
        <w:pStyle w:val="Listaszerbekezds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u w:val="single"/>
          <w:lang w:val="en-US"/>
        </w:rPr>
        <w:t>Law of European Union: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Primary EU law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Treaty on the functioning of European Union – art. 6 (1) with the coming into force of the Lisbon Treaty on 1 December 2009 turned the Charter of Fundamental Rights into EU primary law;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Charter of Fundamental Rights of the EU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art. 7 (respect for private and family life) and art. 8 (right to data protection), art. 52 (limitations of right to data protection).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Secondary law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Historical sources: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95/46/EC National (invalidated 25 May 2018);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2006/24/EC so called Data Retention Directive (invalidated 8 April 2014);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Applicable sources: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Directives: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Directive 2002/58/EC so called Directive on privacy and electronic communications;</w:t>
      </w:r>
    </w:p>
    <w:p w:rsidR="00DE3B07" w:rsidRPr="00DE3B07" w:rsidRDefault="00C17F9E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DE3B07" w:rsidRPr="00DE3B07">
          <w:rPr>
            <w:rFonts w:ascii="Times New Roman" w:hAnsi="Times New Roman" w:cs="Times New Roman"/>
            <w:sz w:val="24"/>
            <w:szCs w:val="24"/>
            <w:lang w:val="en-US"/>
          </w:rPr>
          <w:t>Directive (EU) 2016/680</w:t>
        </w:r>
      </w:hyperlink>
      <w:r w:rsidR="00DE3B07"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so called Police Directive;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Regulations: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Regulation (EU) 45/2011;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Regulation (EU) 2016/679 so called GDPR;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CJUE case law – landmark cases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Joined cases C-92/09 and C-93/09, Volker and Markus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Schecke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GbR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(C-92/09) and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Hartmut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Eifert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(C-93/09) v. Land Hessen;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DE3B07">
        <w:rPr>
          <w:rFonts w:ascii="Times New Roman" w:hAnsi="Times New Roman" w:cs="Times New Roman"/>
          <w:sz w:val="24"/>
          <w:szCs w:val="24"/>
        </w:rPr>
        <w:t xml:space="preserve"> C</w:t>
      </w:r>
      <w:r w:rsidRPr="00DE3B07">
        <w:rPr>
          <w:rFonts w:ascii="Times New Roman" w:hAnsi="Times New Roman" w:cs="Times New Roman"/>
          <w:sz w:val="24"/>
          <w:szCs w:val="24"/>
        </w:rPr>
        <w:noBreakHyphen/>
        <w:t xml:space="preserve">131/12 </w:t>
      </w:r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Google Spain SL, Google Inc. v.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Agencia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Española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Protección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Datos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(AEPD), Mario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</w:rPr>
        <w:t>Costeja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</w:rPr>
        <w:t xml:space="preserve"> González;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Style w:val="bold"/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Case C-582/14 Patrick Breyer v.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 Deutschland;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Case C-498/16 Maximilian </w:t>
      </w:r>
      <w:proofErr w:type="spellStart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>Schrems</w:t>
      </w:r>
      <w:proofErr w:type="spellEnd"/>
      <w:r w:rsidRPr="00DE3B07">
        <w:rPr>
          <w:rStyle w:val="bold"/>
          <w:rFonts w:ascii="Times New Roman" w:hAnsi="Times New Roman" w:cs="Times New Roman"/>
          <w:sz w:val="24"/>
          <w:szCs w:val="24"/>
          <w:lang w:val="en-US"/>
        </w:rPr>
        <w:t xml:space="preserve"> v. Facebook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Ireland Ltd.;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Soft law: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Opinions of Article 29 Working Party (e.g. Opinion 4/2007 on the concept of personal data, WP 136, 20 June 2007);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Guidelines of European Data Protection Board (e.g. Guidelines 2/2018 on derogations of Article 49 under Regulation 2016/679).</w:t>
      </w:r>
    </w:p>
    <w:p w:rsidR="00DE3B07" w:rsidRPr="00DE3B07" w:rsidRDefault="00DE3B07" w:rsidP="00DE3B07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European Data Protection reform: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Historical background (Directive 95/46/EC – adopted in a completely different environment i.e. different level of internet access, the first attempts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of reform 2012 – first official drafts, one of the most heavily lobbied pieces of legislation in the history of EU).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Current outcome (replacement of Directive 95/46/EC by GDPR, new regulations in the field of police related matters).</w:t>
      </w:r>
    </w:p>
    <w:p w:rsidR="00DE3B07" w:rsidRPr="00DE3B07" w:rsidRDefault="00DE3B07" w:rsidP="00DE3B07">
      <w:pPr>
        <w:pStyle w:val="Listaszerbekezds"/>
        <w:numPr>
          <w:ilvl w:val="1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General Data Protection Regulation (GDPR) – specific provisions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Scope: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Direct result in EU (Article 288 TFEU, comparison between directive and regulation);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Applicability in EEA (incorporation of GDPR into EEA Agreement);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Material scope (comparison with convention n° 108, derogations listed in Article 2.2);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extraterritorial effect (establishment in EU, offering goods or services to EU citizens, monitoring the behavior of EU citizens – practical examples);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Key terms: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Personal data: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3B07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is the limit of it, indirect identification (example: IP number – is it personal data?);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Special categories of personal data e.g. sensitive data (Article 6 of Convention n° 108, Article 9 GDPR, C-101/01,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Bodil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Lindqvist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, 6 November 2003), personal data relating to criminal convictions (Article 10 GDPR, example of criminal background checks used in recruitment);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subject;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Processing – scope of the definition, case law: C-101/01,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Bodil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Lindqvist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, 6 November 2003;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Filing system;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Controller and processor: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Concept - Article 29 Working Party (2010), Opinion 1/2010 on the concepts of ‘controller’ and ‘processor’, WP 169, Brussels, 16 February 2010;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SWIFT case - Article 29 Working Party (2006), Opinion 10/2006 on the processing of personal data by the Society for Worldwide Interbank Financial Telecommunication (SWIFT), WP 128, Brussels, 22 November 2006;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Comparison of the scope of liability;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protection agreement – requirements of Article 28 GDPR.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Profiling – context: Big Data, Internet of Things (</w:t>
      </w: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), behavioral advertising, Article 29 Working Party Guidelines on Automated individual decision-making and Profiling for the purposes of Regulation 2016/679.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3B07">
        <w:rPr>
          <w:rFonts w:ascii="Times New Roman" w:hAnsi="Times New Roman" w:cs="Times New Roman"/>
          <w:sz w:val="24"/>
          <w:szCs w:val="24"/>
          <w:lang w:val="en-US"/>
        </w:rPr>
        <w:t>Pseudonymisation</w:t>
      </w:r>
      <w:proofErr w:type="spellEnd"/>
      <w:r w:rsidRPr="00DE3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Supervisory Authority. 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Supervisory Authority Concerned.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The main principles of personal data processing: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Fairness and lawfulness;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Legal bases of processing (art. 6.1 GDPR);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Purpose limitation;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Proportionality;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Accuracy;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Storage limitation;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Integrity and confidentiality.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Data subject’s rights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lastRenderedPageBreak/>
        <w:t>“the old rights” – the rights which had existed before GDPR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of access;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of rectification;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file a claim with supervisory authority;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“the new rights” – the rights established by GDPR: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data portability;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>Right to restriction of processing;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sz w:val="24"/>
          <w:szCs w:val="24"/>
          <w:lang w:val="en-US"/>
        </w:rPr>
        <w:t xml:space="preserve">Right to be forgotten; 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Right to object and </w:t>
      </w:r>
      <w:r w:rsidRPr="00DE3B07">
        <w:rPr>
          <w:rFonts w:ascii="Times New Roman" w:hAnsi="Times New Roman" w:cs="Times New Roman"/>
          <w:sz w:val="24"/>
          <w:szCs w:val="24"/>
          <w:lang w:val="en-US"/>
        </w:rPr>
        <w:t>automated</w:t>
      </w: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individual decision-making.</w:t>
      </w:r>
    </w:p>
    <w:p w:rsidR="00DE3B07" w:rsidRPr="00DE3B07" w:rsidRDefault="00DE3B07" w:rsidP="00DE3B07">
      <w:pPr>
        <w:pStyle w:val="Listaszerbekezds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Cross-</w:t>
      </w:r>
      <w:proofErr w:type="spellStart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broder</w:t>
      </w:r>
      <w:proofErr w:type="spellEnd"/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data transfers: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General principle for transfers;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Adequacy decision;</w:t>
      </w:r>
    </w:p>
    <w:p w:rsidR="00DE3B07" w:rsidRPr="00DE3B07" w:rsidRDefault="00DE3B07" w:rsidP="00DE3B07">
      <w:pPr>
        <w:pStyle w:val="Listaszerbekezds"/>
        <w:numPr>
          <w:ilvl w:val="3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Transfers subject to appropriate</w:t>
      </w:r>
      <w:r w:rsidRPr="00DE3B07">
        <w:rPr>
          <w:rFonts w:ascii="Times New Roman" w:hAnsi="Times New Roman" w:cs="Times New Roman"/>
          <w:bCs/>
          <w:color w:val="444444"/>
          <w:sz w:val="24"/>
          <w:szCs w:val="24"/>
          <w:shd w:val="clear" w:color="auto" w:fill="FFFFFF"/>
          <w:lang w:val="en-US"/>
        </w:rPr>
        <w:t xml:space="preserve"> </w:t>
      </w: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safeguards: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legally binding and enforceable instrument between public authorities or bodies;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binding corporate rules;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standard data protection clauses adopted by the European Commission;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standard data protection clauses adopted by the European Commission adopted by a supervisory authority and approved by the Commission;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approved code of conduct;</w:t>
      </w:r>
    </w:p>
    <w:p w:rsidR="00DE3B07" w:rsidRPr="00DE3B07" w:rsidRDefault="00DE3B07" w:rsidP="00DE3B07">
      <w:pPr>
        <w:pStyle w:val="Listaszerbekezds"/>
        <w:numPr>
          <w:ilvl w:val="4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3B0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approved certification mechanism</w:t>
      </w:r>
    </w:p>
    <w:p w:rsidR="00DE3B07" w:rsidRPr="00DE3B07" w:rsidRDefault="00DE3B07" w:rsidP="00DE3B07">
      <w:pPr>
        <w:spacing w:line="360" w:lineRule="auto"/>
        <w:rPr>
          <w:u w:val="single"/>
        </w:rPr>
      </w:pPr>
    </w:p>
    <w:p w:rsidR="00C914A3" w:rsidRPr="00DE3B07" w:rsidRDefault="00DE3B07" w:rsidP="00DE3B07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DE3B07">
        <w:rPr>
          <w:rFonts w:ascii="Times New Roman" w:hAnsi="Times New Roman" w:cs="Times New Roman"/>
          <w:b/>
          <w:bCs/>
        </w:rPr>
        <w:t>Assessment</w:t>
      </w:r>
      <w:proofErr w:type="spellEnd"/>
    </w:p>
    <w:p w:rsidR="00DE3B07" w:rsidRDefault="00DE3B07" w:rsidP="00DE3B07">
      <w:pPr>
        <w:pStyle w:val="Default"/>
        <w:rPr>
          <w:rFonts w:ascii="Times New Roman" w:hAnsi="Times New Roman" w:cs="Times New Roman"/>
          <w:bCs/>
        </w:rPr>
      </w:pPr>
    </w:p>
    <w:p w:rsidR="00DE3B07" w:rsidRPr="00DE3B07" w:rsidRDefault="00DE3B07" w:rsidP="00DE3B07">
      <w:pPr>
        <w:pStyle w:val="Defaul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Written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open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book</w:t>
      </w:r>
      <w:proofErr w:type="spellEnd"/>
      <w:r>
        <w:rPr>
          <w:rFonts w:ascii="Times New Roman" w:hAnsi="Times New Roman" w:cs="Times New Roman"/>
          <w:bCs/>
        </w:rPr>
        <w:t xml:space="preserve">) </w:t>
      </w:r>
      <w:proofErr w:type="spellStart"/>
      <w:r>
        <w:rPr>
          <w:rFonts w:ascii="Times New Roman" w:hAnsi="Times New Roman" w:cs="Times New Roman"/>
          <w:bCs/>
        </w:rPr>
        <w:t>exam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on</w:t>
      </w:r>
      <w:proofErr w:type="spellEnd"/>
      <w:r w:rsidR="008438E9"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the</w:t>
      </w:r>
      <w:proofErr w:type="spellEnd"/>
      <w:r>
        <w:rPr>
          <w:rFonts w:ascii="Times New Roman" w:hAnsi="Times New Roman" w:cs="Times New Roman"/>
          <w:bCs/>
        </w:rPr>
        <w:t xml:space="preserve"> last </w:t>
      </w:r>
      <w:proofErr w:type="spellStart"/>
      <w:r>
        <w:rPr>
          <w:rFonts w:ascii="Times New Roman" w:hAnsi="Times New Roman" w:cs="Times New Roman"/>
          <w:bCs/>
        </w:rPr>
        <w:t>lesson</w:t>
      </w:r>
      <w:proofErr w:type="spellEnd"/>
    </w:p>
    <w:sectPr w:rsidR="00DE3B07" w:rsidRPr="00DE3B07" w:rsidSect="003638D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9E" w:rsidRDefault="00C17F9E" w:rsidP="00B267E0">
      <w:r>
        <w:separator/>
      </w:r>
    </w:p>
  </w:endnote>
  <w:endnote w:type="continuationSeparator" w:id="0">
    <w:p w:rsidR="00C17F9E" w:rsidRDefault="00C17F9E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9E" w:rsidRDefault="00C17F9E" w:rsidP="00B267E0">
      <w:r>
        <w:separator/>
      </w:r>
    </w:p>
  </w:footnote>
  <w:footnote w:type="continuationSeparator" w:id="0">
    <w:p w:rsidR="00C17F9E" w:rsidRDefault="00C17F9E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7DDE0D1A" wp14:editId="4AA99EA6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6838180D" wp14:editId="4AFF8B15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7321"/>
    <w:multiLevelType w:val="hybridMultilevel"/>
    <w:tmpl w:val="D9CE4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3193"/>
    <w:multiLevelType w:val="hybridMultilevel"/>
    <w:tmpl w:val="4242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26CA"/>
    <w:multiLevelType w:val="hybridMultilevel"/>
    <w:tmpl w:val="7CDEB4D0"/>
    <w:lvl w:ilvl="0" w:tplc="AA82AE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347F9"/>
    <w:rsid w:val="00066229"/>
    <w:rsid w:val="000D0DD6"/>
    <w:rsid w:val="000D64FA"/>
    <w:rsid w:val="000F4C47"/>
    <w:rsid w:val="00100DD9"/>
    <w:rsid w:val="00114A03"/>
    <w:rsid w:val="00170FD5"/>
    <w:rsid w:val="001F5012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42F82"/>
    <w:rsid w:val="0056227C"/>
    <w:rsid w:val="00587A44"/>
    <w:rsid w:val="005F04CD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38E9"/>
    <w:rsid w:val="00845CC4"/>
    <w:rsid w:val="00864819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76AB"/>
    <w:rsid w:val="00C071B4"/>
    <w:rsid w:val="00C17F9E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E3B07"/>
    <w:rsid w:val="00DF5787"/>
    <w:rsid w:val="00E01CE1"/>
    <w:rsid w:val="00E26E2D"/>
    <w:rsid w:val="00EB27D8"/>
    <w:rsid w:val="00EE51FE"/>
    <w:rsid w:val="00F13C32"/>
    <w:rsid w:val="00F275C1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257336"/>
  <w15:docId w15:val="{B7D275C7-DB06-4168-9483-5C40AB7F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bold">
    <w:name w:val="bold"/>
    <w:basedOn w:val="Bekezdsalapbettpusa"/>
    <w:rsid w:val="00DE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oc.echr.coe.int/e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udoc.echr.coe.int/eng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law/law-topic/data-protection/data-protection-eu_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hudoc.echr.coe.int/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doc.echr.coe.int/en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6</Pages>
  <Words>888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7005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Udovecz Ákos</cp:lastModifiedBy>
  <cp:revision>2</cp:revision>
  <cp:lastPrinted>2012-01-06T15:03:00Z</cp:lastPrinted>
  <dcterms:created xsi:type="dcterms:W3CDTF">2021-12-03T10:02:00Z</dcterms:created>
  <dcterms:modified xsi:type="dcterms:W3CDTF">2021-12-03T10:02:00Z</dcterms:modified>
</cp:coreProperties>
</file>