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07" w:rsidRPr="00DE3B07" w:rsidRDefault="00DE3B07" w:rsidP="00DE3B07">
      <w:pPr>
        <w:spacing w:line="360" w:lineRule="auto"/>
        <w:jc w:val="center"/>
        <w:rPr>
          <w:b/>
          <w:sz w:val="28"/>
          <w:szCs w:val="28"/>
          <w:u w:val="single"/>
        </w:rPr>
      </w:pPr>
      <w:bookmarkStart w:id="0" w:name="_GoBack"/>
      <w:r w:rsidRPr="00DE3B07">
        <w:rPr>
          <w:b/>
          <w:sz w:val="28"/>
          <w:szCs w:val="28"/>
          <w:u w:val="single"/>
        </w:rPr>
        <w:t>International and European personal data protection law</w:t>
      </w:r>
    </w:p>
    <w:bookmarkEnd w:id="0"/>
    <w:p w:rsidR="00DE3B07" w:rsidRDefault="00DE3B07" w:rsidP="00DE3B07">
      <w:pPr>
        <w:spacing w:line="360" w:lineRule="auto"/>
        <w:rPr>
          <w:rFonts w:ascii="Arial" w:hAnsi="Arial" w:cs="Arial"/>
          <w:sz w:val="20"/>
          <w:szCs w:val="20"/>
        </w:rPr>
      </w:pPr>
    </w:p>
    <w:p w:rsidR="00DE3B07" w:rsidRDefault="00DE3B07" w:rsidP="00DE3B07">
      <w:pPr>
        <w:spacing w:line="360" w:lineRule="auto"/>
        <w:rPr>
          <w:rFonts w:ascii="Arial" w:hAnsi="Arial" w:cs="Arial"/>
          <w:sz w:val="20"/>
          <w:szCs w:val="20"/>
        </w:rPr>
      </w:pPr>
    </w:p>
    <w:p w:rsidR="00DE3B07" w:rsidRDefault="00DE3B07" w:rsidP="00DE3B07">
      <w:pPr>
        <w:spacing w:line="360" w:lineRule="auto"/>
      </w:pPr>
      <w:r w:rsidRPr="00DE3B07">
        <w:rPr>
          <w:b/>
        </w:rPr>
        <w:t>Lecturer</w:t>
      </w:r>
      <w:r w:rsidRPr="00DE3B07">
        <w:t xml:space="preserve">: Mateusz Gędźba </w:t>
      </w:r>
      <w:r>
        <w:t>–</w:t>
      </w:r>
      <w:r w:rsidRPr="00DE3B07">
        <w:t xml:space="preserve"> Krakow</w:t>
      </w:r>
    </w:p>
    <w:p w:rsidR="00DE3B07" w:rsidRPr="00DE3B07" w:rsidRDefault="00DE3B07" w:rsidP="00DE3B07">
      <w:pPr>
        <w:spacing w:line="360" w:lineRule="auto"/>
      </w:pPr>
      <w:r>
        <w:t xml:space="preserve">2 weeks long block seminar </w:t>
      </w:r>
      <w:proofErr w:type="spellStart"/>
      <w:r>
        <w:t>devided</w:t>
      </w:r>
      <w:proofErr w:type="spellEnd"/>
      <w:r>
        <w:t xml:space="preserve"> into 2 </w:t>
      </w:r>
      <w:proofErr w:type="gramStart"/>
      <w:r>
        <w:t>on</w:t>
      </w:r>
      <w:r w:rsidR="00066229">
        <w:t>e week</w:t>
      </w:r>
      <w:proofErr w:type="gramEnd"/>
      <w:r w:rsidR="00066229">
        <w:t xml:space="preserve"> long </w:t>
      </w:r>
      <w:proofErr w:type="spellStart"/>
      <w:r w:rsidR="00066229">
        <w:t>moduls</w:t>
      </w:r>
      <w:proofErr w:type="spellEnd"/>
      <w:r w:rsidR="00066229">
        <w:t xml:space="preserve"> over the spring</w:t>
      </w:r>
      <w:r>
        <w:t xml:space="preserve"> semester</w:t>
      </w:r>
    </w:p>
    <w:p w:rsidR="00DE3B07" w:rsidRPr="00DE3B07" w:rsidRDefault="00DE3B07" w:rsidP="00DE3B07">
      <w:pPr>
        <w:spacing w:line="360" w:lineRule="auto"/>
        <w:rPr>
          <w:u w:val="single"/>
        </w:rPr>
      </w:pPr>
    </w:p>
    <w:p w:rsidR="00DE3B07" w:rsidRPr="00DE3B07" w:rsidRDefault="00DE3B07" w:rsidP="00DE3B07">
      <w:pPr>
        <w:pStyle w:val="Listaszerbekezds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u w:val="single"/>
          <w:lang w:val="en-US"/>
        </w:rPr>
        <w:t>International personal data protection law</w:t>
      </w:r>
    </w:p>
    <w:p w:rsidR="00DE3B07" w:rsidRPr="00DE3B07" w:rsidRDefault="00DE3B07" w:rsidP="00DE3B07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Soft law</w:t>
      </w:r>
    </w:p>
    <w:p w:rsidR="00DE3B07" w:rsidRPr="00DE3B07" w:rsidRDefault="00DE3B07" w:rsidP="00DE3B07">
      <w:pPr>
        <w:pStyle w:val="Listaszerbekezds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OECD guidelines</w:t>
      </w:r>
    </w:p>
    <w:p w:rsidR="00DE3B07" w:rsidRPr="00DE3B07" w:rsidRDefault="00DE3B07" w:rsidP="00DE3B07">
      <w:pPr>
        <w:pStyle w:val="Listaszerbekezds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Recommendations issued by Council of Europe Committee of Ministers (example: Recommendation Rec(2010)13 to member states on the protection of individuals with regard to automatic processing of personal data in the context of profiling (Profiling Recommendation), 23 November 2010)</w:t>
      </w:r>
    </w:p>
    <w:p w:rsidR="00DE3B07" w:rsidRPr="00DE3B07" w:rsidRDefault="00DE3B07" w:rsidP="00DE3B07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Hard law</w:t>
      </w:r>
    </w:p>
    <w:p w:rsidR="00DE3B07" w:rsidRPr="00DE3B07" w:rsidRDefault="00DE3B07" w:rsidP="00DE3B07">
      <w:pPr>
        <w:pStyle w:val="Listaszerbekezds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European Convention on Human Rights:</w:t>
      </w:r>
    </w:p>
    <w:p w:rsidR="00DE3B07" w:rsidRPr="00DE3B07" w:rsidRDefault="00DE3B07" w:rsidP="00DE3B07">
      <w:pPr>
        <w:pStyle w:val="Listaszerbekezds"/>
        <w:numPr>
          <w:ilvl w:val="2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Description of relevant regulations (e.g. Article 8)</w:t>
      </w:r>
    </w:p>
    <w:p w:rsidR="00DE3B07" w:rsidRPr="00DE3B07" w:rsidRDefault="00DE3B07" w:rsidP="00DE3B07">
      <w:pPr>
        <w:pStyle w:val="Listaszerbekezds"/>
        <w:numPr>
          <w:ilvl w:val="2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Case law of European Court of Human Rights – the landmark cases:</w:t>
      </w:r>
    </w:p>
    <w:p w:rsidR="00DE3B07" w:rsidRPr="00DE3B07" w:rsidRDefault="00DE3B07" w:rsidP="00DE3B07">
      <w:pPr>
        <w:pStyle w:val="Listaszerbekezds"/>
        <w:numPr>
          <w:ilvl w:val="3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Axel Springer AG v. Germany (Application no. </w:t>
      </w:r>
      <w:hyperlink r:id="rId7" w:anchor="%7B%22appno%22:[%2239954/08%22]%7D" w:tgtFrame="_blank" w:history="1">
        <w:r w:rsidRPr="00DE3B07">
          <w:rPr>
            <w:rFonts w:ascii="Times New Roman" w:hAnsi="Times New Roman" w:cs="Times New Roman"/>
            <w:sz w:val="24"/>
            <w:szCs w:val="24"/>
            <w:lang w:val="en-US"/>
          </w:rPr>
          <w:t>39954/08</w:t>
        </w:r>
      </w:hyperlink>
      <w:r w:rsidRPr="00DE3B07">
        <w:rPr>
          <w:rFonts w:ascii="Times New Roman" w:hAnsi="Times New Roman" w:cs="Times New Roman"/>
          <w:sz w:val="24"/>
          <w:szCs w:val="24"/>
          <w:lang w:val="en-US"/>
        </w:rPr>
        <w:t>) – balance between the right to data protection and freedom of expression;</w:t>
      </w:r>
    </w:p>
    <w:p w:rsidR="00DE3B07" w:rsidRPr="00DE3B07" w:rsidRDefault="00DE3B07" w:rsidP="00DE3B07">
      <w:pPr>
        <w:pStyle w:val="Listaszerbekezds"/>
        <w:numPr>
          <w:ilvl w:val="3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Mosley v. The United Kingdom (Application no. </w:t>
      </w:r>
      <w:hyperlink r:id="rId8" w:anchor="%7B%22appno%22:[%2248009/08%22]%7D" w:tgtFrame="_blank" w:history="1">
        <w:r w:rsidRPr="00DE3B07">
          <w:rPr>
            <w:rFonts w:ascii="Times New Roman" w:hAnsi="Times New Roman" w:cs="Times New Roman"/>
            <w:sz w:val="24"/>
            <w:szCs w:val="24"/>
            <w:lang w:val="en-US"/>
          </w:rPr>
          <w:t>48009/08</w:t>
        </w:r>
      </w:hyperlink>
      <w:r w:rsidRPr="00DE3B07">
        <w:rPr>
          <w:rFonts w:ascii="Times New Roman" w:hAnsi="Times New Roman" w:cs="Times New Roman"/>
          <w:sz w:val="24"/>
          <w:szCs w:val="24"/>
          <w:lang w:val="en-US"/>
        </w:rPr>
        <w:t>) – balance between the right to data protection and freedom of expression;</w:t>
      </w:r>
    </w:p>
    <w:p w:rsidR="00DE3B07" w:rsidRPr="00DE3B07" w:rsidRDefault="00DE3B07" w:rsidP="00DE3B07">
      <w:pPr>
        <w:pStyle w:val="Listaszerbekezds"/>
        <w:numPr>
          <w:ilvl w:val="3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3B07">
        <w:rPr>
          <w:rFonts w:ascii="Times New Roman" w:hAnsi="Times New Roman" w:cs="Times New Roman"/>
          <w:sz w:val="24"/>
          <w:szCs w:val="24"/>
          <w:lang w:val="en-US"/>
        </w:rPr>
        <w:t>Biriuk</w:t>
      </w:r>
      <w:proofErr w:type="spellEnd"/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v. Lithuania (Application no. No. 23373/03) - balance between the right to data protection and freedom of expression</w:t>
      </w:r>
    </w:p>
    <w:p w:rsidR="00DE3B07" w:rsidRPr="00DE3B07" w:rsidRDefault="00DE3B07" w:rsidP="00DE3B07">
      <w:pPr>
        <w:pStyle w:val="Listaszerbekezds"/>
        <w:numPr>
          <w:ilvl w:val="3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3B07">
        <w:rPr>
          <w:rFonts w:ascii="Times New Roman" w:hAnsi="Times New Roman" w:cs="Times New Roman"/>
          <w:sz w:val="24"/>
          <w:szCs w:val="24"/>
          <w:lang w:val="en-US"/>
        </w:rPr>
        <w:lastRenderedPageBreak/>
        <w:t>Vereinigung</w:t>
      </w:r>
      <w:proofErr w:type="spellEnd"/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B07">
        <w:rPr>
          <w:rFonts w:ascii="Times New Roman" w:hAnsi="Times New Roman" w:cs="Times New Roman"/>
          <w:sz w:val="24"/>
          <w:szCs w:val="24"/>
          <w:lang w:val="en-US"/>
        </w:rPr>
        <w:t>Bildender</w:t>
      </w:r>
      <w:proofErr w:type="spellEnd"/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B07">
        <w:rPr>
          <w:rFonts w:ascii="Times New Roman" w:hAnsi="Times New Roman" w:cs="Times New Roman"/>
          <w:sz w:val="24"/>
          <w:szCs w:val="24"/>
          <w:lang w:val="en-US"/>
        </w:rPr>
        <w:t>Künstler</w:t>
      </w:r>
      <w:proofErr w:type="spellEnd"/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v. Austria (Application no. </w:t>
      </w:r>
      <w:hyperlink r:id="rId9" w:anchor="%7B%22appno%22:[%2268354/01%22]%7D" w:tgtFrame="_blank" w:history="1">
        <w:r w:rsidRPr="00DE3B07">
          <w:rPr>
            <w:rFonts w:ascii="Times New Roman" w:hAnsi="Times New Roman" w:cs="Times New Roman"/>
            <w:sz w:val="24"/>
            <w:szCs w:val="24"/>
            <w:lang w:val="en-US"/>
          </w:rPr>
          <w:t>68354/01</w:t>
        </w:r>
      </w:hyperlink>
      <w:r w:rsidRPr="00DE3B07">
        <w:rPr>
          <w:rFonts w:ascii="Times New Roman" w:hAnsi="Times New Roman" w:cs="Times New Roman"/>
          <w:sz w:val="24"/>
          <w:szCs w:val="24"/>
          <w:lang w:val="en-US"/>
        </w:rPr>
        <w:t>)– balance between the right to data protection and freedom of arts and sciences;</w:t>
      </w:r>
    </w:p>
    <w:p w:rsidR="00DE3B07" w:rsidRPr="00DE3B07" w:rsidRDefault="00DE3B07" w:rsidP="00DE3B07">
      <w:pPr>
        <w:pStyle w:val="Listaszerbekezds"/>
        <w:numPr>
          <w:ilvl w:val="3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3B07">
        <w:rPr>
          <w:rFonts w:ascii="Times New Roman" w:hAnsi="Times New Roman" w:cs="Times New Roman"/>
          <w:sz w:val="24"/>
          <w:szCs w:val="24"/>
          <w:lang w:val="en-US"/>
        </w:rPr>
        <w:t>Társaság</w:t>
      </w:r>
      <w:proofErr w:type="spellEnd"/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E3B07">
        <w:rPr>
          <w:rFonts w:ascii="Times New Roman" w:hAnsi="Times New Roman" w:cs="Times New Roman"/>
          <w:sz w:val="24"/>
          <w:szCs w:val="24"/>
          <w:lang w:val="en-US"/>
        </w:rPr>
        <w:t>Szabadságjogokért</w:t>
      </w:r>
      <w:proofErr w:type="spellEnd"/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v. Hungary (Application no. </w:t>
      </w:r>
      <w:hyperlink r:id="rId10" w:anchor="%7B%22appno%22:[%2237374/05%22]%7D" w:tgtFrame="_blank" w:history="1">
        <w:r w:rsidRPr="00DE3B07">
          <w:rPr>
            <w:rFonts w:ascii="Times New Roman" w:hAnsi="Times New Roman" w:cs="Times New Roman"/>
            <w:sz w:val="24"/>
            <w:szCs w:val="24"/>
            <w:lang w:val="en-US"/>
          </w:rPr>
          <w:t>37374/05</w:t>
        </w:r>
      </w:hyperlink>
      <w:proofErr w:type="gramStart"/>
      <w:r w:rsidRPr="00DE3B07">
        <w:rPr>
          <w:rFonts w:ascii="Times New Roman" w:hAnsi="Times New Roman" w:cs="Times New Roman"/>
          <w:sz w:val="24"/>
          <w:szCs w:val="24"/>
          <w:lang w:val="en-US"/>
        </w:rPr>
        <w:t>)–</w:t>
      </w:r>
      <w:proofErr w:type="gramEnd"/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balance between the right to data protection and the right of access to documents.;</w:t>
      </w:r>
    </w:p>
    <w:p w:rsidR="00DE3B07" w:rsidRPr="00DE3B07" w:rsidRDefault="00DE3B07" w:rsidP="00DE3B07">
      <w:pPr>
        <w:pStyle w:val="Listaszerbekezds"/>
        <w:numPr>
          <w:ilvl w:val="3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3B07">
        <w:rPr>
          <w:rFonts w:ascii="Times New Roman" w:hAnsi="Times New Roman" w:cs="Times New Roman"/>
          <w:sz w:val="24"/>
          <w:szCs w:val="24"/>
          <w:lang w:val="en-US"/>
        </w:rPr>
        <w:t>Vereinigung</w:t>
      </w:r>
      <w:proofErr w:type="spellEnd"/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B07">
        <w:rPr>
          <w:rFonts w:ascii="Times New Roman" w:hAnsi="Times New Roman" w:cs="Times New Roman"/>
          <w:sz w:val="24"/>
          <w:szCs w:val="24"/>
          <w:lang w:val="en-US"/>
        </w:rPr>
        <w:t>bildender</w:t>
      </w:r>
      <w:proofErr w:type="spellEnd"/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B07">
        <w:rPr>
          <w:rFonts w:ascii="Times New Roman" w:hAnsi="Times New Roman" w:cs="Times New Roman"/>
          <w:sz w:val="24"/>
          <w:szCs w:val="24"/>
          <w:lang w:val="en-US"/>
        </w:rPr>
        <w:t>Künstler</w:t>
      </w:r>
      <w:proofErr w:type="spellEnd"/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v. Austria (Application no. No. 68345/01) - balance between the right to data protection and the freedom of the arts and sciences</w:t>
      </w:r>
    </w:p>
    <w:p w:rsidR="00DE3B07" w:rsidRPr="00DE3B07" w:rsidRDefault="00DE3B07" w:rsidP="00DE3B07">
      <w:pPr>
        <w:pStyle w:val="Listaszerbekezds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Council of Europe Convention n° 108 and its amendments</w:t>
      </w:r>
    </w:p>
    <w:p w:rsidR="00DE3B07" w:rsidRPr="00DE3B07" w:rsidRDefault="00DE3B07" w:rsidP="00DE3B07">
      <w:pPr>
        <w:pStyle w:val="Listaszerbekezds"/>
        <w:numPr>
          <w:ilvl w:val="2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History and territorial scope of the convention, it’s global character,</w:t>
      </w:r>
    </w:p>
    <w:p w:rsidR="00DE3B07" w:rsidRPr="00DE3B07" w:rsidRDefault="00DE3B07" w:rsidP="00DE3B07">
      <w:pPr>
        <w:pStyle w:val="Listaszerbekezds"/>
        <w:numPr>
          <w:ilvl w:val="2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New draft of amending Protocol (published after the session of Committee of Ministers on 17 – 18 May 2018).</w:t>
      </w:r>
    </w:p>
    <w:p w:rsidR="00DE3B07" w:rsidRPr="00DE3B07" w:rsidRDefault="00DE3B07" w:rsidP="00DE3B07">
      <w:pPr>
        <w:pStyle w:val="Listaszerbekezds"/>
        <w:spacing w:after="0" w:line="360" w:lineRule="auto"/>
        <w:ind w:left="1069"/>
        <w:rPr>
          <w:rFonts w:ascii="Times New Roman" w:hAnsi="Times New Roman" w:cs="Times New Roman"/>
          <w:sz w:val="24"/>
          <w:szCs w:val="24"/>
          <w:lang w:val="en-US"/>
        </w:rPr>
      </w:pPr>
    </w:p>
    <w:p w:rsidR="00DE3B07" w:rsidRPr="00DE3B07" w:rsidRDefault="00DE3B07" w:rsidP="00DE3B07">
      <w:pPr>
        <w:pStyle w:val="Listaszerbekezds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u w:val="single"/>
          <w:lang w:val="en-US"/>
        </w:rPr>
        <w:t>Law of European Union:</w:t>
      </w:r>
    </w:p>
    <w:p w:rsidR="00DE3B07" w:rsidRPr="00DE3B07" w:rsidRDefault="00DE3B07" w:rsidP="00DE3B07">
      <w:pPr>
        <w:pStyle w:val="Listaszerbekezds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Primary EU law</w:t>
      </w:r>
    </w:p>
    <w:p w:rsidR="00DE3B07" w:rsidRPr="00DE3B07" w:rsidRDefault="00DE3B07" w:rsidP="00DE3B07">
      <w:pPr>
        <w:pStyle w:val="Listaszerbekezds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Treaty on the functioning of European Union – art. 6 (1) with the coming into force of the Lisbon Treaty on 1 December 2009 turned the Charter of Fundamental Rights into EU primary law;</w:t>
      </w:r>
    </w:p>
    <w:p w:rsidR="00DE3B07" w:rsidRPr="00DE3B07" w:rsidRDefault="00DE3B07" w:rsidP="00DE3B07">
      <w:pPr>
        <w:pStyle w:val="Listaszerbekezds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Charter of Fundamental Rights of the EU </w:t>
      </w:r>
      <w:r w:rsidRPr="00DE3B0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art. 7 (respect for private and family life) and art. 8 (right to data protection), art. 52 (limitations of right to data protection).</w:t>
      </w:r>
    </w:p>
    <w:p w:rsidR="00DE3B07" w:rsidRPr="00DE3B07" w:rsidRDefault="00DE3B07" w:rsidP="00DE3B07">
      <w:pPr>
        <w:pStyle w:val="Listaszerbekezds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Secondary law</w:t>
      </w:r>
    </w:p>
    <w:p w:rsidR="00DE3B07" w:rsidRPr="00DE3B07" w:rsidRDefault="00DE3B07" w:rsidP="00DE3B07">
      <w:pPr>
        <w:pStyle w:val="Listaszerbekezds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Historical sources:</w:t>
      </w:r>
    </w:p>
    <w:p w:rsidR="00DE3B07" w:rsidRPr="00DE3B07" w:rsidRDefault="00DE3B07" w:rsidP="00DE3B07">
      <w:pPr>
        <w:pStyle w:val="Listaszerbekezds"/>
        <w:numPr>
          <w:ilvl w:val="2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Directive 95/46/EC National (invalidated 25 May 2018);</w:t>
      </w:r>
    </w:p>
    <w:p w:rsidR="00DE3B07" w:rsidRPr="00DE3B07" w:rsidRDefault="00DE3B07" w:rsidP="00DE3B07">
      <w:pPr>
        <w:pStyle w:val="Listaszerbekezds"/>
        <w:numPr>
          <w:ilvl w:val="2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Directive 2006/24/EC so called Data Retention Directive (invalidated 8 April 2014);</w:t>
      </w:r>
    </w:p>
    <w:p w:rsidR="00DE3B07" w:rsidRPr="00DE3B07" w:rsidRDefault="00DE3B07" w:rsidP="00DE3B07">
      <w:pPr>
        <w:pStyle w:val="Listaszerbekezds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Applicable sources:</w:t>
      </w:r>
    </w:p>
    <w:p w:rsidR="00DE3B07" w:rsidRPr="00DE3B07" w:rsidRDefault="00DE3B07" w:rsidP="00DE3B07">
      <w:pPr>
        <w:pStyle w:val="Listaszerbekezds"/>
        <w:numPr>
          <w:ilvl w:val="2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lastRenderedPageBreak/>
        <w:t>Directives: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Directive 2002/58/EC so called Directive on privacy and electronic communications;</w:t>
      </w:r>
    </w:p>
    <w:p w:rsidR="00DE3B07" w:rsidRPr="00DE3B07" w:rsidRDefault="00C17F9E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DE3B07" w:rsidRPr="00DE3B07">
          <w:rPr>
            <w:rFonts w:ascii="Times New Roman" w:hAnsi="Times New Roman" w:cs="Times New Roman"/>
            <w:sz w:val="24"/>
            <w:szCs w:val="24"/>
            <w:lang w:val="en-US"/>
          </w:rPr>
          <w:t>Directive (EU) 2016/680</w:t>
        </w:r>
      </w:hyperlink>
      <w:r w:rsidR="00DE3B07"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so called Police Directive;</w:t>
      </w:r>
    </w:p>
    <w:p w:rsidR="00DE3B07" w:rsidRPr="00DE3B07" w:rsidRDefault="00DE3B07" w:rsidP="00DE3B07">
      <w:pPr>
        <w:pStyle w:val="Listaszerbekezds"/>
        <w:numPr>
          <w:ilvl w:val="2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Regulations: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Regulation (EU) 45/2011; 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Regulation (EU) 2016/679 so called GDPR;</w:t>
      </w:r>
    </w:p>
    <w:p w:rsidR="00DE3B07" w:rsidRPr="00DE3B07" w:rsidRDefault="00DE3B07" w:rsidP="00DE3B07">
      <w:pPr>
        <w:pStyle w:val="Listaszerbekezds"/>
        <w:numPr>
          <w:ilvl w:val="2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CJUE case law – landmark cases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Joined cases C-92/09 and C-93/09, Volker and Markus </w:t>
      </w:r>
      <w:proofErr w:type="spellStart"/>
      <w:r w:rsidRPr="00DE3B07">
        <w:rPr>
          <w:rFonts w:ascii="Times New Roman" w:hAnsi="Times New Roman" w:cs="Times New Roman"/>
          <w:sz w:val="24"/>
          <w:szCs w:val="24"/>
          <w:lang w:val="en-US"/>
        </w:rPr>
        <w:t>Schecke</w:t>
      </w:r>
      <w:proofErr w:type="spellEnd"/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B07">
        <w:rPr>
          <w:rFonts w:ascii="Times New Roman" w:hAnsi="Times New Roman" w:cs="Times New Roman"/>
          <w:sz w:val="24"/>
          <w:szCs w:val="24"/>
          <w:lang w:val="en-US"/>
        </w:rPr>
        <w:t>GbR</w:t>
      </w:r>
      <w:proofErr w:type="spellEnd"/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(C-92/09) and </w:t>
      </w:r>
      <w:proofErr w:type="spellStart"/>
      <w:r w:rsidRPr="00DE3B07">
        <w:rPr>
          <w:rFonts w:ascii="Times New Roman" w:hAnsi="Times New Roman" w:cs="Times New Roman"/>
          <w:sz w:val="24"/>
          <w:szCs w:val="24"/>
          <w:lang w:val="en-US"/>
        </w:rPr>
        <w:t>Hartmut</w:t>
      </w:r>
      <w:proofErr w:type="spellEnd"/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B07">
        <w:rPr>
          <w:rFonts w:ascii="Times New Roman" w:hAnsi="Times New Roman" w:cs="Times New Roman"/>
          <w:sz w:val="24"/>
          <w:szCs w:val="24"/>
          <w:lang w:val="en-US"/>
        </w:rPr>
        <w:t>Eifert</w:t>
      </w:r>
      <w:proofErr w:type="spellEnd"/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(C-93/09) v. Land Hessen;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Style w:val="bold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3B07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DE3B07">
        <w:rPr>
          <w:rFonts w:ascii="Times New Roman" w:hAnsi="Times New Roman" w:cs="Times New Roman"/>
          <w:sz w:val="24"/>
          <w:szCs w:val="24"/>
        </w:rPr>
        <w:t xml:space="preserve"> C</w:t>
      </w:r>
      <w:r w:rsidRPr="00DE3B07">
        <w:rPr>
          <w:rFonts w:ascii="Times New Roman" w:hAnsi="Times New Roman" w:cs="Times New Roman"/>
          <w:sz w:val="24"/>
          <w:szCs w:val="24"/>
        </w:rPr>
        <w:noBreakHyphen/>
        <w:t xml:space="preserve">131/12 </w:t>
      </w:r>
      <w:r w:rsidRPr="00DE3B07">
        <w:rPr>
          <w:rStyle w:val="bold"/>
          <w:rFonts w:ascii="Times New Roman" w:hAnsi="Times New Roman" w:cs="Times New Roman"/>
          <w:sz w:val="24"/>
          <w:szCs w:val="24"/>
        </w:rPr>
        <w:t xml:space="preserve">Google Spain SL, Google Inc. v. </w:t>
      </w:r>
      <w:proofErr w:type="spellStart"/>
      <w:r w:rsidRPr="00DE3B07">
        <w:rPr>
          <w:rStyle w:val="bold"/>
          <w:rFonts w:ascii="Times New Roman" w:hAnsi="Times New Roman" w:cs="Times New Roman"/>
          <w:sz w:val="24"/>
          <w:szCs w:val="24"/>
        </w:rPr>
        <w:t>Agencia</w:t>
      </w:r>
      <w:proofErr w:type="spellEnd"/>
      <w:r w:rsidRPr="00DE3B07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B07">
        <w:rPr>
          <w:rStyle w:val="bold"/>
          <w:rFonts w:ascii="Times New Roman" w:hAnsi="Times New Roman" w:cs="Times New Roman"/>
          <w:sz w:val="24"/>
          <w:szCs w:val="24"/>
        </w:rPr>
        <w:t>Española</w:t>
      </w:r>
      <w:proofErr w:type="spellEnd"/>
      <w:r w:rsidRPr="00DE3B07">
        <w:rPr>
          <w:rStyle w:val="bold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E3B07">
        <w:rPr>
          <w:rStyle w:val="bold"/>
          <w:rFonts w:ascii="Times New Roman" w:hAnsi="Times New Roman" w:cs="Times New Roman"/>
          <w:sz w:val="24"/>
          <w:szCs w:val="24"/>
        </w:rPr>
        <w:t>Protección</w:t>
      </w:r>
      <w:proofErr w:type="spellEnd"/>
      <w:r w:rsidRPr="00DE3B07">
        <w:rPr>
          <w:rStyle w:val="bold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E3B07">
        <w:rPr>
          <w:rStyle w:val="bold"/>
          <w:rFonts w:ascii="Times New Roman" w:hAnsi="Times New Roman" w:cs="Times New Roman"/>
          <w:sz w:val="24"/>
          <w:szCs w:val="24"/>
        </w:rPr>
        <w:t>Datos</w:t>
      </w:r>
      <w:proofErr w:type="spellEnd"/>
      <w:r w:rsidRPr="00DE3B07">
        <w:rPr>
          <w:rStyle w:val="bold"/>
          <w:rFonts w:ascii="Times New Roman" w:hAnsi="Times New Roman" w:cs="Times New Roman"/>
          <w:sz w:val="24"/>
          <w:szCs w:val="24"/>
        </w:rPr>
        <w:t xml:space="preserve"> (AEPD), Mario </w:t>
      </w:r>
      <w:proofErr w:type="spellStart"/>
      <w:r w:rsidRPr="00DE3B07">
        <w:rPr>
          <w:rStyle w:val="bold"/>
          <w:rFonts w:ascii="Times New Roman" w:hAnsi="Times New Roman" w:cs="Times New Roman"/>
          <w:sz w:val="24"/>
          <w:szCs w:val="24"/>
        </w:rPr>
        <w:t>Costeja</w:t>
      </w:r>
      <w:proofErr w:type="spellEnd"/>
      <w:r w:rsidRPr="00DE3B07">
        <w:rPr>
          <w:rStyle w:val="bold"/>
          <w:rFonts w:ascii="Times New Roman" w:hAnsi="Times New Roman" w:cs="Times New Roman"/>
          <w:sz w:val="24"/>
          <w:szCs w:val="24"/>
        </w:rPr>
        <w:t xml:space="preserve"> González; 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Style w:val="bold"/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Style w:val="bold"/>
          <w:rFonts w:ascii="Times New Roman" w:hAnsi="Times New Roman" w:cs="Times New Roman"/>
          <w:sz w:val="24"/>
          <w:szCs w:val="24"/>
          <w:lang w:val="en-US"/>
        </w:rPr>
        <w:t xml:space="preserve">Case C-582/14 Patrick Breyer v. </w:t>
      </w:r>
      <w:proofErr w:type="spellStart"/>
      <w:r w:rsidRPr="00DE3B07">
        <w:rPr>
          <w:rStyle w:val="bold"/>
          <w:rFonts w:ascii="Times New Roman" w:hAnsi="Times New Roman" w:cs="Times New Roman"/>
          <w:sz w:val="24"/>
          <w:szCs w:val="24"/>
          <w:lang w:val="en-US"/>
        </w:rPr>
        <w:t>Bundesrepublik</w:t>
      </w:r>
      <w:proofErr w:type="spellEnd"/>
      <w:r w:rsidRPr="00DE3B07">
        <w:rPr>
          <w:rStyle w:val="bold"/>
          <w:rFonts w:ascii="Times New Roman" w:hAnsi="Times New Roman" w:cs="Times New Roman"/>
          <w:sz w:val="24"/>
          <w:szCs w:val="24"/>
          <w:lang w:val="en-US"/>
        </w:rPr>
        <w:t xml:space="preserve"> Deutschland;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Style w:val="bold"/>
          <w:rFonts w:ascii="Times New Roman" w:hAnsi="Times New Roman" w:cs="Times New Roman"/>
          <w:sz w:val="24"/>
          <w:szCs w:val="24"/>
          <w:lang w:val="en-US"/>
        </w:rPr>
        <w:t xml:space="preserve">Case C-498/16 Maximilian </w:t>
      </w:r>
      <w:proofErr w:type="spellStart"/>
      <w:r w:rsidRPr="00DE3B07">
        <w:rPr>
          <w:rStyle w:val="bold"/>
          <w:rFonts w:ascii="Times New Roman" w:hAnsi="Times New Roman" w:cs="Times New Roman"/>
          <w:sz w:val="24"/>
          <w:szCs w:val="24"/>
          <w:lang w:val="en-US"/>
        </w:rPr>
        <w:t>Schrems</w:t>
      </w:r>
      <w:proofErr w:type="spellEnd"/>
      <w:r w:rsidRPr="00DE3B07">
        <w:rPr>
          <w:rStyle w:val="bold"/>
          <w:rFonts w:ascii="Times New Roman" w:hAnsi="Times New Roman" w:cs="Times New Roman"/>
          <w:sz w:val="24"/>
          <w:szCs w:val="24"/>
          <w:lang w:val="en-US"/>
        </w:rPr>
        <w:t xml:space="preserve"> v. Facebook</w:t>
      </w:r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Ireland Ltd.;</w:t>
      </w:r>
    </w:p>
    <w:p w:rsidR="00DE3B07" w:rsidRPr="00DE3B07" w:rsidRDefault="00DE3B07" w:rsidP="00DE3B07">
      <w:pPr>
        <w:pStyle w:val="Listaszerbekezds"/>
        <w:numPr>
          <w:ilvl w:val="2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Soft law: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Opinions of Article 29 Working Party (e.g. Opinion 4/2007 on the concept of personal data, WP 136, 20 June 2007);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Guidelines of European Data Protection Board (e.g. Guidelines 2/2018 on derogations of Article 49 under Regulation 2016/679).</w:t>
      </w:r>
    </w:p>
    <w:p w:rsidR="00DE3B07" w:rsidRPr="00DE3B07" w:rsidRDefault="00DE3B07" w:rsidP="00DE3B07">
      <w:pPr>
        <w:pStyle w:val="Listaszerbekezds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European Data Protection reform:</w:t>
      </w:r>
    </w:p>
    <w:p w:rsidR="00DE3B07" w:rsidRPr="00DE3B07" w:rsidRDefault="00DE3B07" w:rsidP="00DE3B07">
      <w:pPr>
        <w:pStyle w:val="Listaszerbekezds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Historical background (Directive 95/46/EC – adopted in a completely different environment i.e. different level of internet access, the first attempts </w:t>
      </w:r>
      <w:r w:rsidRPr="00DE3B07">
        <w:rPr>
          <w:rFonts w:ascii="Times New Roman" w:hAnsi="Times New Roman" w:cs="Times New Roman"/>
          <w:sz w:val="24"/>
          <w:szCs w:val="24"/>
          <w:lang w:val="en-US"/>
        </w:rPr>
        <w:lastRenderedPageBreak/>
        <w:t>of reform 2012 – first official drafts, one of the most heavily lobbied pieces of legislation in the history of EU).</w:t>
      </w:r>
    </w:p>
    <w:p w:rsidR="00DE3B07" w:rsidRPr="00DE3B07" w:rsidRDefault="00DE3B07" w:rsidP="00DE3B07">
      <w:pPr>
        <w:pStyle w:val="Listaszerbekezds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Current outcome (replacement of Directive 95/46/EC by GDPR, new regulations in the field of police related matters).</w:t>
      </w:r>
    </w:p>
    <w:p w:rsidR="00DE3B07" w:rsidRPr="00DE3B07" w:rsidRDefault="00DE3B07" w:rsidP="00DE3B07">
      <w:pPr>
        <w:pStyle w:val="Listaszerbekezds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General Data Protection Regulation (GDPR) – specific provisions</w:t>
      </w:r>
    </w:p>
    <w:p w:rsidR="00DE3B07" w:rsidRPr="00DE3B07" w:rsidRDefault="00DE3B07" w:rsidP="00DE3B07">
      <w:pPr>
        <w:pStyle w:val="Listaszerbekezds"/>
        <w:numPr>
          <w:ilvl w:val="2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Scope: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Direct result in EU (Article 288 TFEU, comparison between directive and regulation);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Applicability in EEA (incorporation of GDPR into EEA Agreement);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Material scope (comparison with convention n° 108, derogations listed in Article 2.2);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extraterritorial effect (establishment in EU, offering goods or services to EU citizens, monitoring the behavior of EU citizens – practical examples);</w:t>
      </w:r>
    </w:p>
    <w:p w:rsidR="00DE3B07" w:rsidRPr="00DE3B07" w:rsidRDefault="00DE3B07" w:rsidP="00DE3B07">
      <w:pPr>
        <w:pStyle w:val="Listaszerbekezds"/>
        <w:numPr>
          <w:ilvl w:val="2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Key terms: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Personal data: 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E3B07"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is the limit of it, indirect identification (example: IP number – is it personal data?);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Special categories of personal data e.g. sensitive data (Article 6 of Convention n° 108, Article 9 GDPR, C-101/01, </w:t>
      </w:r>
      <w:proofErr w:type="spellStart"/>
      <w:r w:rsidRPr="00DE3B07">
        <w:rPr>
          <w:rFonts w:ascii="Times New Roman" w:hAnsi="Times New Roman" w:cs="Times New Roman"/>
          <w:sz w:val="24"/>
          <w:szCs w:val="24"/>
          <w:lang w:val="en-US"/>
        </w:rPr>
        <w:t>Bodil</w:t>
      </w:r>
      <w:proofErr w:type="spellEnd"/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B07">
        <w:rPr>
          <w:rFonts w:ascii="Times New Roman" w:hAnsi="Times New Roman" w:cs="Times New Roman"/>
          <w:sz w:val="24"/>
          <w:szCs w:val="24"/>
          <w:lang w:val="en-US"/>
        </w:rPr>
        <w:t>Lindqvist</w:t>
      </w:r>
      <w:proofErr w:type="spellEnd"/>
      <w:r w:rsidRPr="00DE3B07">
        <w:rPr>
          <w:rFonts w:ascii="Times New Roman" w:hAnsi="Times New Roman" w:cs="Times New Roman"/>
          <w:sz w:val="24"/>
          <w:szCs w:val="24"/>
          <w:lang w:val="en-US"/>
        </w:rPr>
        <w:t>, 6 November 2003), personal data relating to criminal convictions (Article 10 GDPR, example of criminal background checks used in recruitment);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Data subject;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Processing – scope of the definition, case law: C-101/01, </w:t>
      </w:r>
      <w:proofErr w:type="spellStart"/>
      <w:r w:rsidRPr="00DE3B07">
        <w:rPr>
          <w:rFonts w:ascii="Times New Roman" w:hAnsi="Times New Roman" w:cs="Times New Roman"/>
          <w:sz w:val="24"/>
          <w:szCs w:val="24"/>
          <w:lang w:val="en-US"/>
        </w:rPr>
        <w:t>Bodil</w:t>
      </w:r>
      <w:proofErr w:type="spellEnd"/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B07">
        <w:rPr>
          <w:rFonts w:ascii="Times New Roman" w:hAnsi="Times New Roman" w:cs="Times New Roman"/>
          <w:sz w:val="24"/>
          <w:szCs w:val="24"/>
          <w:lang w:val="en-US"/>
        </w:rPr>
        <w:t>Lindqvist</w:t>
      </w:r>
      <w:proofErr w:type="spellEnd"/>
      <w:r w:rsidRPr="00DE3B07">
        <w:rPr>
          <w:rFonts w:ascii="Times New Roman" w:hAnsi="Times New Roman" w:cs="Times New Roman"/>
          <w:sz w:val="24"/>
          <w:szCs w:val="24"/>
          <w:lang w:val="en-US"/>
        </w:rPr>
        <w:t>, 6 November 2003;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Filing system;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Controller and processor: 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Concept - Article 29 Working Party (2010), Opinion 1/2010 on the concepts of ‘controller’ and ‘processor’, WP 169, Brussels, 16 February 2010;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SWIFT case - Article 29 Working Party (2006), Opinion 10/2006 on the processing of personal data by the Society for Worldwide Interbank Financial Telecommunication (SWIFT), WP 128, Brussels, 22 November 2006;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Comparison of the scope of liability;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Data protection agreement – requirements of Article 28 GDPR.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Profiling – context: Big Data, Internet of Things (</w:t>
      </w:r>
      <w:proofErr w:type="spellStart"/>
      <w:r w:rsidRPr="00DE3B07">
        <w:rPr>
          <w:rFonts w:ascii="Times New Roman" w:hAnsi="Times New Roman" w:cs="Times New Roman"/>
          <w:sz w:val="24"/>
          <w:szCs w:val="24"/>
          <w:lang w:val="en-US"/>
        </w:rPr>
        <w:t>IoT</w:t>
      </w:r>
      <w:proofErr w:type="spellEnd"/>
      <w:r w:rsidRPr="00DE3B07">
        <w:rPr>
          <w:rFonts w:ascii="Times New Roman" w:hAnsi="Times New Roman" w:cs="Times New Roman"/>
          <w:sz w:val="24"/>
          <w:szCs w:val="24"/>
          <w:lang w:val="en-US"/>
        </w:rPr>
        <w:t>), behavioral advertising, Article 29 Working Party Guidelines on Automated individual decision-making and Profiling for the purposes of Regulation 2016/679.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3B07">
        <w:rPr>
          <w:rFonts w:ascii="Times New Roman" w:hAnsi="Times New Roman" w:cs="Times New Roman"/>
          <w:sz w:val="24"/>
          <w:szCs w:val="24"/>
          <w:lang w:val="en-US"/>
        </w:rPr>
        <w:t>Pseudonymisation</w:t>
      </w:r>
      <w:proofErr w:type="spellEnd"/>
      <w:r w:rsidRPr="00DE3B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Supervisory Authority. 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Supervisory Authority Concerned.</w:t>
      </w:r>
    </w:p>
    <w:p w:rsidR="00DE3B07" w:rsidRPr="00DE3B07" w:rsidRDefault="00DE3B07" w:rsidP="00DE3B07">
      <w:pPr>
        <w:pStyle w:val="Listaszerbekezds"/>
        <w:numPr>
          <w:ilvl w:val="2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The main principles of personal data processing: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Fairness and lawfulness;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Legal bases of processing (art. 6.1 GDPR);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Purpose limitation;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Proportionality;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Accuracy;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Storage limitation;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Integrity and confidentiality.</w:t>
      </w:r>
    </w:p>
    <w:p w:rsidR="00DE3B07" w:rsidRPr="00DE3B07" w:rsidRDefault="00DE3B07" w:rsidP="00DE3B07">
      <w:pPr>
        <w:pStyle w:val="Listaszerbekezds"/>
        <w:numPr>
          <w:ilvl w:val="2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Data subject’s rights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lastRenderedPageBreak/>
        <w:t>“the old rights” – the rights which had existed before GDPR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Right of access;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Right of rectification;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Right to file a claim with supervisory authority;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“the new rights” – the rights established by GDPR: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Right to data portability;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Right to restriction of processing;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Right to be forgotten; 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Right to object and </w:t>
      </w:r>
      <w:r w:rsidRPr="00DE3B07">
        <w:rPr>
          <w:rFonts w:ascii="Times New Roman" w:hAnsi="Times New Roman" w:cs="Times New Roman"/>
          <w:sz w:val="24"/>
          <w:szCs w:val="24"/>
          <w:lang w:val="en-US"/>
        </w:rPr>
        <w:t>automated</w:t>
      </w:r>
      <w:r w:rsidRPr="00DE3B0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individual decision-making.</w:t>
      </w:r>
    </w:p>
    <w:p w:rsidR="00DE3B07" w:rsidRPr="00DE3B07" w:rsidRDefault="00DE3B07" w:rsidP="00DE3B07">
      <w:pPr>
        <w:pStyle w:val="Listaszerbekezds"/>
        <w:numPr>
          <w:ilvl w:val="2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Cross-</w:t>
      </w:r>
      <w:proofErr w:type="spellStart"/>
      <w:r w:rsidRPr="00DE3B0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broder</w:t>
      </w:r>
      <w:proofErr w:type="spellEnd"/>
      <w:r w:rsidRPr="00DE3B0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data transfers: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General principle for transfers;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Adequacy decision;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Transfers subject to appropriate</w:t>
      </w:r>
      <w:r w:rsidRPr="00DE3B07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  <w:lang w:val="en-US"/>
        </w:rPr>
        <w:t xml:space="preserve"> </w:t>
      </w:r>
      <w:r w:rsidRPr="00DE3B0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safeguards: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legally binding and enforceable instrument between public authorities or bodies;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binding corporate rules;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standard data protection clauses adopted by the European Commission;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standard data protection clauses adopted by the European Commission adopted by a supervisory authority and approved by the Commission;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approved code of conduct;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approved certification mechanism</w:t>
      </w:r>
    </w:p>
    <w:p w:rsidR="00DE3B07" w:rsidRPr="00DE3B07" w:rsidRDefault="00DE3B07" w:rsidP="00DE3B07">
      <w:pPr>
        <w:spacing w:line="360" w:lineRule="auto"/>
        <w:rPr>
          <w:u w:val="single"/>
        </w:rPr>
      </w:pPr>
    </w:p>
    <w:p w:rsidR="00C914A3" w:rsidRPr="00DE3B07" w:rsidRDefault="00DE3B07" w:rsidP="00DE3B07">
      <w:pPr>
        <w:pStyle w:val="Default"/>
        <w:rPr>
          <w:rFonts w:ascii="Times New Roman" w:hAnsi="Times New Roman" w:cs="Times New Roman"/>
          <w:b/>
          <w:bCs/>
        </w:rPr>
      </w:pPr>
      <w:proofErr w:type="spellStart"/>
      <w:r w:rsidRPr="00DE3B07">
        <w:rPr>
          <w:rFonts w:ascii="Times New Roman" w:hAnsi="Times New Roman" w:cs="Times New Roman"/>
          <w:b/>
          <w:bCs/>
        </w:rPr>
        <w:t>Assessment</w:t>
      </w:r>
      <w:proofErr w:type="spellEnd"/>
    </w:p>
    <w:p w:rsidR="00DE3B07" w:rsidRDefault="00DE3B07" w:rsidP="00DE3B07">
      <w:pPr>
        <w:pStyle w:val="Default"/>
        <w:rPr>
          <w:rFonts w:ascii="Times New Roman" w:hAnsi="Times New Roman" w:cs="Times New Roman"/>
          <w:bCs/>
        </w:rPr>
      </w:pPr>
    </w:p>
    <w:p w:rsidR="00DE3B07" w:rsidRPr="00DE3B07" w:rsidRDefault="00DE3B07" w:rsidP="00DE3B07">
      <w:pPr>
        <w:pStyle w:val="Default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Written</w:t>
      </w:r>
      <w:proofErr w:type="spellEnd"/>
      <w:r>
        <w:rPr>
          <w:rFonts w:ascii="Times New Roman" w:hAnsi="Times New Roman" w:cs="Times New Roman"/>
          <w:bCs/>
        </w:rPr>
        <w:t xml:space="preserve"> (</w:t>
      </w:r>
      <w:proofErr w:type="spellStart"/>
      <w:r>
        <w:rPr>
          <w:rFonts w:ascii="Times New Roman" w:hAnsi="Times New Roman" w:cs="Times New Roman"/>
          <w:bCs/>
        </w:rPr>
        <w:t>open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book</w:t>
      </w:r>
      <w:proofErr w:type="spellEnd"/>
      <w:r>
        <w:rPr>
          <w:rFonts w:ascii="Times New Roman" w:hAnsi="Times New Roman" w:cs="Times New Roman"/>
          <w:bCs/>
        </w:rPr>
        <w:t xml:space="preserve">) </w:t>
      </w:r>
      <w:proofErr w:type="spellStart"/>
      <w:r>
        <w:rPr>
          <w:rFonts w:ascii="Times New Roman" w:hAnsi="Times New Roman" w:cs="Times New Roman"/>
          <w:bCs/>
        </w:rPr>
        <w:t>exam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on</w:t>
      </w:r>
      <w:proofErr w:type="spellEnd"/>
      <w:r w:rsidR="008438E9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the</w:t>
      </w:r>
      <w:proofErr w:type="spellEnd"/>
      <w:r>
        <w:rPr>
          <w:rFonts w:ascii="Times New Roman" w:hAnsi="Times New Roman" w:cs="Times New Roman"/>
          <w:bCs/>
        </w:rPr>
        <w:t xml:space="preserve"> last </w:t>
      </w:r>
      <w:proofErr w:type="spellStart"/>
      <w:r>
        <w:rPr>
          <w:rFonts w:ascii="Times New Roman" w:hAnsi="Times New Roman" w:cs="Times New Roman"/>
          <w:bCs/>
        </w:rPr>
        <w:t>lesson</w:t>
      </w:r>
      <w:proofErr w:type="spellEnd"/>
    </w:p>
    <w:sectPr w:rsidR="00DE3B07" w:rsidRPr="00DE3B07" w:rsidSect="003638DE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552" w:right="1418" w:bottom="22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F9E" w:rsidRDefault="00C17F9E" w:rsidP="00B267E0">
      <w:r>
        <w:separator/>
      </w:r>
    </w:p>
  </w:endnote>
  <w:endnote w:type="continuationSeparator" w:id="0">
    <w:p w:rsidR="00C17F9E" w:rsidRDefault="00C17F9E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F9E" w:rsidRDefault="00C17F9E" w:rsidP="00B267E0">
      <w:r>
        <w:separator/>
      </w:r>
    </w:p>
  </w:footnote>
  <w:footnote w:type="continuationSeparator" w:id="0">
    <w:p w:rsidR="00C17F9E" w:rsidRDefault="00C17F9E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4C" w:rsidRPr="00CF0826" w:rsidRDefault="006F5386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anchor distT="0" distB="0" distL="114300" distR="114300" simplePos="0" relativeHeight="251659776" behindDoc="1" locked="0" layoutInCell="1" allowOverlap="1" wp14:anchorId="7DDE0D1A" wp14:editId="4AA99EA6">
          <wp:simplePos x="0" y="0"/>
          <wp:positionH relativeFrom="column">
            <wp:posOffset>-60325</wp:posOffset>
          </wp:positionH>
          <wp:positionV relativeFrom="paragraph">
            <wp:posOffset>73660</wp:posOffset>
          </wp:positionV>
          <wp:extent cx="2085975" cy="666750"/>
          <wp:effectExtent l="19050" t="0" r="9525" b="0"/>
          <wp:wrapNone/>
          <wp:docPr id="2" name="Kép 4" descr="C:\Users\botlikmolnar\AppData\Local\Microsoft\Windows\Temporary Internet Files\Content.Word\elte_ajk_engl_blac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tlikmolnar\AppData\Local\Microsoft\Windows\Temporary Internet Files\Content.Word\elte_ajk_engl_black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5012"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4C" w:rsidRPr="00A375A3" w:rsidRDefault="006F5386" w:rsidP="0093764C">
    <w:pPr>
      <w:pStyle w:val="lfej"/>
      <w:tabs>
        <w:tab w:val="left" w:pos="142"/>
      </w:tabs>
    </w:pPr>
    <w:r>
      <w:rPr>
        <w:noProof/>
        <w:lang w:val="hu-HU" w:eastAsia="hu-HU"/>
      </w:rPr>
      <w:drawing>
        <wp:anchor distT="0" distB="0" distL="114300" distR="114300" simplePos="0" relativeHeight="251658752" behindDoc="1" locked="0" layoutInCell="1" allowOverlap="1" wp14:anchorId="6838180D" wp14:editId="4AFF8B15">
          <wp:simplePos x="0" y="0"/>
          <wp:positionH relativeFrom="column">
            <wp:posOffset>-1098550</wp:posOffset>
          </wp:positionH>
          <wp:positionV relativeFrom="paragraph">
            <wp:posOffset>-40640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88A"/>
    <w:multiLevelType w:val="hybridMultilevel"/>
    <w:tmpl w:val="3F04CF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B7321"/>
    <w:multiLevelType w:val="hybridMultilevel"/>
    <w:tmpl w:val="D9CE4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C6AC2"/>
    <w:multiLevelType w:val="hybridMultilevel"/>
    <w:tmpl w:val="AA96F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44254"/>
    <w:multiLevelType w:val="hybridMultilevel"/>
    <w:tmpl w:val="A8BA6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E3193"/>
    <w:multiLevelType w:val="hybridMultilevel"/>
    <w:tmpl w:val="42425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826CA"/>
    <w:multiLevelType w:val="hybridMultilevel"/>
    <w:tmpl w:val="7CDEB4D0"/>
    <w:lvl w:ilvl="0" w:tplc="AA82AE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E3"/>
    <w:rsid w:val="000347F9"/>
    <w:rsid w:val="00066229"/>
    <w:rsid w:val="000D0DD6"/>
    <w:rsid w:val="000D64FA"/>
    <w:rsid w:val="000F4C47"/>
    <w:rsid w:val="00100DD9"/>
    <w:rsid w:val="00114A03"/>
    <w:rsid w:val="00170FD5"/>
    <w:rsid w:val="001F5012"/>
    <w:rsid w:val="00223741"/>
    <w:rsid w:val="00294CD6"/>
    <w:rsid w:val="002B4EEE"/>
    <w:rsid w:val="00303561"/>
    <w:rsid w:val="00305613"/>
    <w:rsid w:val="003854A0"/>
    <w:rsid w:val="003D6EAA"/>
    <w:rsid w:val="003E5D7A"/>
    <w:rsid w:val="003F5124"/>
    <w:rsid w:val="00462F46"/>
    <w:rsid w:val="00500E54"/>
    <w:rsid w:val="00542F82"/>
    <w:rsid w:val="0056227C"/>
    <w:rsid w:val="00587A44"/>
    <w:rsid w:val="005F04CD"/>
    <w:rsid w:val="006347C8"/>
    <w:rsid w:val="006446AC"/>
    <w:rsid w:val="006722A2"/>
    <w:rsid w:val="00677121"/>
    <w:rsid w:val="0067715E"/>
    <w:rsid w:val="00677CD6"/>
    <w:rsid w:val="006F0F1C"/>
    <w:rsid w:val="006F5386"/>
    <w:rsid w:val="007137E3"/>
    <w:rsid w:val="00736913"/>
    <w:rsid w:val="00750788"/>
    <w:rsid w:val="00787A32"/>
    <w:rsid w:val="007C74F8"/>
    <w:rsid w:val="007D05AD"/>
    <w:rsid w:val="007E16CE"/>
    <w:rsid w:val="00840008"/>
    <w:rsid w:val="008438E9"/>
    <w:rsid w:val="00845CC4"/>
    <w:rsid w:val="00864819"/>
    <w:rsid w:val="008B5240"/>
    <w:rsid w:val="008B54EF"/>
    <w:rsid w:val="00984819"/>
    <w:rsid w:val="009C466E"/>
    <w:rsid w:val="009F2FB6"/>
    <w:rsid w:val="00A52FC1"/>
    <w:rsid w:val="00A76B76"/>
    <w:rsid w:val="00AA51F3"/>
    <w:rsid w:val="00AC2DB2"/>
    <w:rsid w:val="00B01026"/>
    <w:rsid w:val="00B43D23"/>
    <w:rsid w:val="00BD2CB0"/>
    <w:rsid w:val="00BD76AB"/>
    <w:rsid w:val="00C071B4"/>
    <w:rsid w:val="00C17F9E"/>
    <w:rsid w:val="00C24D2A"/>
    <w:rsid w:val="00C55F2A"/>
    <w:rsid w:val="00C5677A"/>
    <w:rsid w:val="00C914A3"/>
    <w:rsid w:val="00C93D42"/>
    <w:rsid w:val="00CF24C9"/>
    <w:rsid w:val="00CF7F87"/>
    <w:rsid w:val="00D10183"/>
    <w:rsid w:val="00D23A4B"/>
    <w:rsid w:val="00D7293C"/>
    <w:rsid w:val="00D7731C"/>
    <w:rsid w:val="00D87407"/>
    <w:rsid w:val="00DE3B07"/>
    <w:rsid w:val="00DF5787"/>
    <w:rsid w:val="00E01CE1"/>
    <w:rsid w:val="00E26E2D"/>
    <w:rsid w:val="00EB27D8"/>
    <w:rsid w:val="00EE51FE"/>
    <w:rsid w:val="00F13C32"/>
    <w:rsid w:val="00F275C1"/>
    <w:rsid w:val="00FF2B0C"/>
    <w:rsid w:val="00FF4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257336"/>
  <w15:docId w15:val="{B7D275C7-DB06-4168-9483-5C40AB7F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semiHidden/>
    <w:rsid w:val="006722A2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722A2"/>
    <w:rPr>
      <w:rFonts w:ascii="Times New Roman" w:eastAsia="Times New Roman" w:hAnsi="Times New Roman"/>
      <w:sz w:val="24"/>
      <w:lang w:val="en-GB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84819"/>
    <w:rPr>
      <w:rFonts w:ascii="Calibri" w:eastAsiaTheme="minorHAnsi" w:hAnsi="Calibri" w:cstheme="minorBidi"/>
      <w:sz w:val="22"/>
      <w:szCs w:val="21"/>
      <w:lang w:val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84819"/>
    <w:rPr>
      <w:rFonts w:ascii="Calibri" w:eastAsiaTheme="minorHAnsi" w:hAnsi="Calibri" w:cstheme="minorBidi"/>
      <w:sz w:val="22"/>
      <w:szCs w:val="21"/>
      <w:lang w:val="hu-HU"/>
    </w:rPr>
  </w:style>
  <w:style w:type="character" w:customStyle="1" w:styleId="bold">
    <w:name w:val="bold"/>
    <w:basedOn w:val="Bekezdsalapbettpusa"/>
    <w:rsid w:val="00DE3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doc.echr.coe.int/en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udoc.echr.coe.int/eng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.europa.eu/info/law/law-topic/data-protection/data-protection-eu_e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hudoc.echr.coe.int/e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doc.echr.coe.int/en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likmolnar\AppData\Roaming\Microsoft\Templates\Nemzetk&#246;zi%20Oszt&#225;ly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Nemzetközi Osztály - Fejléces papír</Template>
  <TotalTime>0</TotalTime>
  <Pages>6</Pages>
  <Words>888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7005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botlikmolnar</dc:creator>
  <cp:lastModifiedBy>Dr. Udovecz Ákos</cp:lastModifiedBy>
  <cp:revision>2</cp:revision>
  <cp:lastPrinted>2012-01-06T15:03:00Z</cp:lastPrinted>
  <dcterms:created xsi:type="dcterms:W3CDTF">2021-12-03T10:02:00Z</dcterms:created>
  <dcterms:modified xsi:type="dcterms:W3CDTF">2021-12-03T10:02:00Z</dcterms:modified>
</cp:coreProperties>
</file>