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8172A" w:rsidRDefault="000B3CA0" w:rsidP="005817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Contentieux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européens</w:t>
      </w:r>
      <w:proofErr w:type="spellEnd"/>
    </w:p>
    <w:p w:rsidR="00556081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22353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Dr. </w:t>
      </w:r>
      <w:r w:rsidR="000B3CA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Réka Somssich, professor</w:t>
      </w:r>
    </w:p>
    <w:p w:rsidR="00556081" w:rsidRPr="00223539" w:rsidRDefault="0075732B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hyperlink r:id="rId8" w:history="1">
        <w:r w:rsidR="000B3CA0" w:rsidRPr="000B3CA0">
          <w:rPr>
            <w:rStyle w:val="Hiperhivatkozs"/>
            <w:rFonts w:ascii="Times New Roman" w:eastAsia="MS Mincho" w:hAnsi="Times New Roman" w:cs="Times New Roman"/>
            <w:bCs/>
            <w:color w:val="auto"/>
            <w:sz w:val="24"/>
            <w:szCs w:val="24"/>
            <w:u w:val="none"/>
          </w:rPr>
          <w:t xml:space="preserve">Department of </w:t>
        </w:r>
        <w:proofErr w:type="spellStart"/>
        <w:r w:rsidR="000B3CA0" w:rsidRPr="000B3CA0">
          <w:rPr>
            <w:rStyle w:val="Hiperhivatkozs"/>
            <w:rFonts w:ascii="Times New Roman" w:eastAsia="MS Mincho" w:hAnsi="Times New Roman" w:cs="Times New Roman"/>
            <w:bCs/>
            <w:color w:val="auto"/>
            <w:sz w:val="24"/>
            <w:szCs w:val="24"/>
            <w:u w:val="none"/>
          </w:rPr>
          <w:t>Private</w:t>
        </w:r>
        <w:proofErr w:type="spellEnd"/>
        <w:r w:rsidR="000B3CA0" w:rsidRPr="000B3CA0">
          <w:rPr>
            <w:rStyle w:val="Hiperhivatkozs"/>
            <w:rFonts w:ascii="Times New Roman" w:eastAsia="MS Mincho" w:hAnsi="Times New Roman" w:cs="Times New Roman"/>
            <w:bCs/>
            <w:color w:val="auto"/>
            <w:sz w:val="24"/>
            <w:szCs w:val="24"/>
            <w:u w:val="none"/>
          </w:rPr>
          <w:t xml:space="preserve"> International Law and European </w:t>
        </w:r>
        <w:proofErr w:type="spellStart"/>
        <w:r w:rsidR="000B3CA0" w:rsidRPr="000B3CA0">
          <w:rPr>
            <w:rStyle w:val="Hiperhivatkozs"/>
            <w:rFonts w:ascii="Times New Roman" w:eastAsia="MS Mincho" w:hAnsi="Times New Roman" w:cs="Times New Roman"/>
            <w:bCs/>
            <w:color w:val="auto"/>
            <w:sz w:val="24"/>
            <w:szCs w:val="24"/>
            <w:u w:val="none"/>
          </w:rPr>
          <w:t>Economic</w:t>
        </w:r>
        <w:proofErr w:type="spellEnd"/>
        <w:r w:rsidR="000B3CA0" w:rsidRPr="000B3CA0">
          <w:rPr>
            <w:rStyle w:val="Hiperhivatkozs"/>
            <w:rFonts w:ascii="Times New Roman" w:eastAsia="MS Mincho" w:hAnsi="Times New Roman" w:cs="Times New Roman"/>
            <w:bCs/>
            <w:color w:val="auto"/>
            <w:sz w:val="24"/>
            <w:szCs w:val="24"/>
            <w:u w:val="none"/>
          </w:rPr>
          <w:t xml:space="preserve"> Law</w:t>
        </w:r>
      </w:hyperlink>
      <w:r w:rsidR="000B3CA0" w:rsidRPr="000B3CA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223539" w:rsidRPr="000B3CA0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(EL</w:t>
      </w:r>
      <w:r w:rsidR="00223539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TE)</w:t>
      </w:r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</w:pPr>
      <w:proofErr w:type="spellStart"/>
      <w:r w:rsidRPr="00F8102A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Description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course</w:t>
      </w:r>
      <w:proofErr w:type="spellEnd"/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Since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EU has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adopted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during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last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decade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number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important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instruments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field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Private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International Law,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number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preliminary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references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from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national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courts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European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Court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Justice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is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ever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growing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. The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course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which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will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be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held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French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be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open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both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for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Erasmus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students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Hungarian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students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will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focus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most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important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decisions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Court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Justice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this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field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attitude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national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courts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applying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these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EU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instruments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initiating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preliminary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ruling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procedure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. The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course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will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elaborate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following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topics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during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one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semester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.</w:t>
      </w:r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</w:pPr>
      <w:r w:rsidRPr="00F8102A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 xml:space="preserve">Course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schedule</w:t>
      </w:r>
      <w:proofErr w:type="spellEnd"/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1.</w:t>
      </w: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  <w:t xml:space="preserve">The European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Court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Justice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preliminary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ruling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procedure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general</w:t>
      </w:r>
      <w:proofErr w:type="spellEnd"/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2.</w:t>
      </w: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Regulating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Private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International Law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at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EU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level</w:t>
      </w:r>
      <w:proofErr w:type="spellEnd"/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3.</w:t>
      </w: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  <w:t xml:space="preserve">The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intensity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nature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preliminary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references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field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Private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Intern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ational</w:t>
      </w: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Law</w:t>
      </w:r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4.</w:t>
      </w: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Analysis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leading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cases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: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national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PIL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rules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v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non-discrimination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principle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(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Avello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case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Paul-Grunkin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case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Wittgenstein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case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)</w:t>
      </w:r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5.</w:t>
      </w: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Analysis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leading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cases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: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national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PIL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rules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v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freedom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establishment (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Cartesio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case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Vale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case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)</w:t>
      </w:r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6.</w:t>
      </w: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Leading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cases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Rome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Regulation</w:t>
      </w:r>
      <w:proofErr w:type="spellEnd"/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7.</w:t>
      </w: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Leading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cases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Rome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II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Regulation</w:t>
      </w:r>
      <w:proofErr w:type="spellEnd"/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8.</w:t>
      </w: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Leading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cases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Brussels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Regulation</w:t>
      </w:r>
      <w:proofErr w:type="spellEnd"/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9.</w:t>
      </w: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  <w:t xml:space="preserve">The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urgency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procedure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(PPU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cases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),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leading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cases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Rome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III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regulation</w:t>
      </w:r>
      <w:proofErr w:type="spellEnd"/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10.</w:t>
      </w: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  <w:t xml:space="preserve">The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impact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decisions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Court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Justice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on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national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legislation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field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Private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International Law</w:t>
      </w:r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11.</w:t>
      </w: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  <w:t xml:space="preserve">The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evolution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Private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International Law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concepts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due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decisions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Court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of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Justice</w:t>
      </w:r>
      <w:proofErr w:type="spellEnd"/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12.</w:t>
      </w:r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ab/>
        <w:t xml:space="preserve">Hungarian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judges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and EU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Private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International Law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instruments</w:t>
      </w:r>
      <w:proofErr w:type="spellEnd"/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proofErr w:type="spellStart"/>
      <w:r w:rsidRPr="00F8102A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Literature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</w:p>
    <w:p w:rsidR="00F8102A" w:rsidRPr="00F8102A" w:rsidRDefault="00F8102A" w:rsidP="00F8102A">
      <w:pPr>
        <w:autoSpaceDE w:val="0"/>
        <w:autoSpaceDN w:val="0"/>
        <w:adjustRightInd w:val="0"/>
        <w:jc w:val="both"/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</w:pP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Compulsory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reading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will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be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uploaded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to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Neptun</w:t>
      </w:r>
      <w:proofErr w:type="spellEnd"/>
    </w:p>
    <w:p w:rsidR="00556081" w:rsidRPr="00556081" w:rsidRDefault="00F8102A" w:rsidP="00F8102A">
      <w:pPr>
        <w:autoSpaceDE w:val="0"/>
        <w:autoSpaceDN w:val="0"/>
        <w:adjustRightInd w:val="0"/>
        <w:jc w:val="both"/>
        <w:rPr>
          <w:rFonts w:eastAsia="MS Mincho"/>
          <w:bCs/>
        </w:rPr>
      </w:pPr>
      <w:proofErr w:type="spellStart"/>
      <w:r w:rsidRPr="00F8102A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Exam</w:t>
      </w:r>
      <w:proofErr w:type="spellEnd"/>
      <w:r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 xml:space="preserve"> - </w:t>
      </w:r>
      <w:bookmarkStart w:id="0" w:name="_GoBack"/>
      <w:bookmarkEnd w:id="0"/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written</w:t>
      </w:r>
      <w:proofErr w:type="spellEnd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102A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exam</w:t>
      </w:r>
      <w:proofErr w:type="spellEnd"/>
    </w:p>
    <w:sectPr w:rsidR="00556081" w:rsidRPr="00556081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32B" w:rsidRDefault="0075732B" w:rsidP="006A3E9F">
      <w:pPr>
        <w:spacing w:after="0" w:line="240" w:lineRule="auto"/>
      </w:pPr>
      <w:r>
        <w:separator/>
      </w:r>
    </w:p>
  </w:endnote>
  <w:endnote w:type="continuationSeparator" w:id="0">
    <w:p w:rsidR="0075732B" w:rsidRDefault="0075732B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32B" w:rsidRDefault="0075732B" w:rsidP="006A3E9F">
      <w:pPr>
        <w:spacing w:after="0" w:line="240" w:lineRule="auto"/>
      </w:pPr>
      <w:r>
        <w:separator/>
      </w:r>
    </w:p>
  </w:footnote>
  <w:footnote w:type="continuationSeparator" w:id="0">
    <w:p w:rsidR="0075732B" w:rsidRDefault="0075732B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B3CA0"/>
    <w:rsid w:val="000E6630"/>
    <w:rsid w:val="00122B14"/>
    <w:rsid w:val="001241F1"/>
    <w:rsid w:val="00154A91"/>
    <w:rsid w:val="00214377"/>
    <w:rsid w:val="00223539"/>
    <w:rsid w:val="00275162"/>
    <w:rsid w:val="002A7467"/>
    <w:rsid w:val="002D4CE3"/>
    <w:rsid w:val="002F4EDE"/>
    <w:rsid w:val="00342072"/>
    <w:rsid w:val="00347A6B"/>
    <w:rsid w:val="00375825"/>
    <w:rsid w:val="003D6FD0"/>
    <w:rsid w:val="004459A6"/>
    <w:rsid w:val="00462CEF"/>
    <w:rsid w:val="004C71B7"/>
    <w:rsid w:val="004E18B0"/>
    <w:rsid w:val="00556081"/>
    <w:rsid w:val="00575FBE"/>
    <w:rsid w:val="0058172A"/>
    <w:rsid w:val="005A64D8"/>
    <w:rsid w:val="006A370D"/>
    <w:rsid w:val="006A3E9F"/>
    <w:rsid w:val="006B41A4"/>
    <w:rsid w:val="0070193A"/>
    <w:rsid w:val="00717639"/>
    <w:rsid w:val="007258B7"/>
    <w:rsid w:val="007317AD"/>
    <w:rsid w:val="0075732B"/>
    <w:rsid w:val="008B251A"/>
    <w:rsid w:val="008C6F6E"/>
    <w:rsid w:val="008E334E"/>
    <w:rsid w:val="00907F12"/>
    <w:rsid w:val="0093128C"/>
    <w:rsid w:val="00957CD4"/>
    <w:rsid w:val="00A054C2"/>
    <w:rsid w:val="00A34386"/>
    <w:rsid w:val="00A40DF6"/>
    <w:rsid w:val="00A66710"/>
    <w:rsid w:val="00B1106A"/>
    <w:rsid w:val="00B9260F"/>
    <w:rsid w:val="00BA2E40"/>
    <w:rsid w:val="00C0178E"/>
    <w:rsid w:val="00C17BC8"/>
    <w:rsid w:val="00C6762B"/>
    <w:rsid w:val="00C8090E"/>
    <w:rsid w:val="00C94228"/>
    <w:rsid w:val="00CB57FC"/>
    <w:rsid w:val="00CF4A2A"/>
    <w:rsid w:val="00DA3812"/>
    <w:rsid w:val="00DF137E"/>
    <w:rsid w:val="00DF6828"/>
    <w:rsid w:val="00E0037E"/>
    <w:rsid w:val="00E50966"/>
    <w:rsid w:val="00F41B04"/>
    <w:rsid w:val="00F65908"/>
    <w:rsid w:val="00F8102A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k.elte.hu/en/content/department-of-private-international-law-and-european-economic-law.t.13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7DA05-EC4F-4985-968C-001FA0DC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3</cp:revision>
  <dcterms:created xsi:type="dcterms:W3CDTF">2020-11-20T12:00:00Z</dcterms:created>
  <dcterms:modified xsi:type="dcterms:W3CDTF">2020-12-02T09:36:00Z</dcterms:modified>
</cp:coreProperties>
</file>