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Pr="009A0A97" w:rsidRDefault="006A3E9F" w:rsidP="0026453B">
      <w:pPr>
        <w:pStyle w:val="Nincstrkz"/>
        <w:tabs>
          <w:tab w:val="left" w:pos="7371"/>
        </w:tabs>
        <w:jc w:val="both"/>
        <w:rPr>
          <w:rFonts w:ascii="Cambria" w:hAnsi="Cambria" w:cstheme="minorHAnsi"/>
          <w:b/>
          <w:sz w:val="24"/>
          <w:szCs w:val="24"/>
          <w:lang w:val="en-GB"/>
        </w:rPr>
      </w:pPr>
    </w:p>
    <w:p w14:paraId="383C1EF2" w14:textId="77777777" w:rsidR="00D04F62" w:rsidRPr="009A0A97" w:rsidRDefault="00D04F62" w:rsidP="00660BBE">
      <w:pPr>
        <w:autoSpaceDE w:val="0"/>
        <w:autoSpaceDN w:val="0"/>
        <w:adjustRightInd w:val="0"/>
        <w:spacing w:after="0" w:line="240" w:lineRule="auto"/>
        <w:jc w:val="both"/>
        <w:rPr>
          <w:rFonts w:ascii="Cambria" w:hAnsi="Cambria" w:cstheme="minorHAnsi"/>
          <w:b/>
          <w:sz w:val="28"/>
          <w:szCs w:val="28"/>
          <w:u w:val="single"/>
          <w:lang w:val="en-US"/>
        </w:rPr>
      </w:pPr>
      <w:bookmarkStart w:id="0" w:name="_GoBack"/>
      <w:bookmarkEnd w:id="0"/>
    </w:p>
    <w:tbl>
      <w:tblPr>
        <w:tblStyle w:val="Rcsostblzat"/>
        <w:tblW w:w="0" w:type="auto"/>
        <w:tblLook w:val="04A0" w:firstRow="1" w:lastRow="0" w:firstColumn="1" w:lastColumn="0" w:noHBand="0" w:noVBand="1"/>
      </w:tblPr>
      <w:tblGrid>
        <w:gridCol w:w="2573"/>
        <w:gridCol w:w="6489"/>
      </w:tblGrid>
      <w:tr w:rsidR="0013685C" w:rsidRPr="00422142" w14:paraId="422D0F2D" w14:textId="4E9785B7" w:rsidTr="004B15C4">
        <w:trPr>
          <w:trHeight w:val="680"/>
        </w:trPr>
        <w:tc>
          <w:tcPr>
            <w:tcW w:w="2573" w:type="dxa"/>
          </w:tcPr>
          <w:p w14:paraId="5690E24B" w14:textId="77777777" w:rsidR="00422142" w:rsidRDefault="00422142" w:rsidP="00B91483">
            <w:pPr>
              <w:autoSpaceDE w:val="0"/>
              <w:autoSpaceDN w:val="0"/>
              <w:adjustRightInd w:val="0"/>
              <w:rPr>
                <w:rFonts w:ascii="Times New Roman" w:hAnsi="Times New Roman" w:cs="Times New Roman"/>
                <w:b/>
                <w:sz w:val="24"/>
                <w:szCs w:val="24"/>
                <w:lang w:val="en-US"/>
              </w:rPr>
            </w:pPr>
          </w:p>
          <w:p w14:paraId="0B43C6C4" w14:textId="4A847532" w:rsidR="0013685C" w:rsidRPr="00422142" w:rsidRDefault="0013685C" w:rsidP="00B91483">
            <w:pPr>
              <w:autoSpaceDE w:val="0"/>
              <w:autoSpaceDN w:val="0"/>
              <w:adjustRightInd w:val="0"/>
              <w:rPr>
                <w:rFonts w:ascii="Times New Roman" w:hAnsi="Times New Roman" w:cs="Times New Roman"/>
                <w:b/>
                <w:sz w:val="24"/>
                <w:szCs w:val="24"/>
                <w:lang w:val="en-GB"/>
              </w:rPr>
            </w:pPr>
            <w:r w:rsidRPr="00422142">
              <w:rPr>
                <w:rFonts w:ascii="Times New Roman" w:hAnsi="Times New Roman" w:cs="Times New Roman"/>
                <w:b/>
                <w:sz w:val="24"/>
                <w:szCs w:val="24"/>
                <w:lang w:val="en-US"/>
              </w:rPr>
              <w:t>Title</w:t>
            </w:r>
          </w:p>
        </w:tc>
        <w:tc>
          <w:tcPr>
            <w:tcW w:w="6489" w:type="dxa"/>
          </w:tcPr>
          <w:p w14:paraId="3BBC8699" w14:textId="77777777" w:rsidR="00422142" w:rsidRDefault="00422142" w:rsidP="00422142">
            <w:pPr>
              <w:spacing w:after="14"/>
              <w:jc w:val="center"/>
              <w:rPr>
                <w:rFonts w:ascii="Times New Roman" w:hAnsi="Times New Roman" w:cs="Times New Roman"/>
                <w:b/>
                <w:smallCaps/>
                <w:sz w:val="28"/>
                <w:szCs w:val="28"/>
                <w:lang w:val="en-GB"/>
              </w:rPr>
            </w:pPr>
          </w:p>
          <w:p w14:paraId="3BCC8B7E" w14:textId="3C23929E" w:rsidR="007C412C" w:rsidRPr="00422142" w:rsidRDefault="007C412C" w:rsidP="00422142">
            <w:pPr>
              <w:spacing w:after="14"/>
              <w:jc w:val="center"/>
              <w:rPr>
                <w:rFonts w:ascii="Times New Roman" w:hAnsi="Times New Roman" w:cs="Times New Roman"/>
                <w:b/>
                <w:sz w:val="28"/>
                <w:szCs w:val="28"/>
                <w:lang w:val="en-GB"/>
              </w:rPr>
            </w:pPr>
            <w:r w:rsidRPr="00422142">
              <w:rPr>
                <w:rFonts w:ascii="Times New Roman" w:hAnsi="Times New Roman" w:cs="Times New Roman"/>
                <w:b/>
                <w:smallCaps/>
                <w:sz w:val="28"/>
                <w:szCs w:val="28"/>
                <w:lang w:val="en-GB"/>
              </w:rPr>
              <w:t>EU human rights and criminal justice</w:t>
            </w:r>
          </w:p>
          <w:p w14:paraId="25F1911A" w14:textId="1A231D4C" w:rsidR="0013685C" w:rsidRPr="00422142" w:rsidRDefault="0013685C" w:rsidP="00B91483">
            <w:pPr>
              <w:autoSpaceDE w:val="0"/>
              <w:autoSpaceDN w:val="0"/>
              <w:adjustRightInd w:val="0"/>
              <w:rPr>
                <w:rFonts w:ascii="Times New Roman" w:hAnsi="Times New Roman" w:cs="Times New Roman"/>
                <w:b/>
                <w:sz w:val="24"/>
                <w:szCs w:val="24"/>
                <w:u w:val="single"/>
                <w:lang w:val="en-US"/>
              </w:rPr>
            </w:pPr>
          </w:p>
        </w:tc>
      </w:tr>
      <w:tr w:rsidR="0013685C" w:rsidRPr="00422142" w14:paraId="46B5954C" w14:textId="3F586132" w:rsidTr="004B15C4">
        <w:trPr>
          <w:trHeight w:val="1258"/>
        </w:trPr>
        <w:tc>
          <w:tcPr>
            <w:tcW w:w="2573" w:type="dxa"/>
          </w:tcPr>
          <w:p w14:paraId="55AC1BDB" w14:textId="77777777" w:rsidR="0013685C" w:rsidRPr="00422142" w:rsidRDefault="0013685C" w:rsidP="00B91483">
            <w:pPr>
              <w:autoSpaceDE w:val="0"/>
              <w:autoSpaceDN w:val="0"/>
              <w:adjustRightInd w:val="0"/>
              <w:jc w:val="both"/>
              <w:rPr>
                <w:rFonts w:ascii="Times New Roman" w:eastAsia="MS Mincho" w:hAnsi="Times New Roman" w:cs="Times New Roman"/>
                <w:bCs/>
                <w:sz w:val="24"/>
                <w:szCs w:val="24"/>
                <w:lang w:val="en-GB"/>
              </w:rPr>
            </w:pPr>
            <w:r w:rsidRPr="00422142">
              <w:rPr>
                <w:rFonts w:ascii="Times New Roman" w:eastAsia="MS Mincho" w:hAnsi="Times New Roman" w:cs="Times New Roman"/>
                <w:b/>
                <w:bCs/>
                <w:sz w:val="24"/>
                <w:szCs w:val="24"/>
                <w:lang w:val="en-GB"/>
              </w:rPr>
              <w:t>Lecturers:</w:t>
            </w:r>
            <w:r w:rsidRPr="00422142">
              <w:rPr>
                <w:rFonts w:ascii="Times New Roman" w:eastAsia="MS Mincho" w:hAnsi="Times New Roman" w:cs="Times New Roman"/>
                <w:bCs/>
                <w:sz w:val="24"/>
                <w:szCs w:val="24"/>
                <w:lang w:val="en-GB"/>
              </w:rPr>
              <w:t xml:space="preserve"> </w:t>
            </w:r>
          </w:p>
        </w:tc>
        <w:tc>
          <w:tcPr>
            <w:tcW w:w="6489" w:type="dxa"/>
          </w:tcPr>
          <w:p w14:paraId="4D390732" w14:textId="2AA74A15" w:rsidR="00422142" w:rsidRPr="00422142" w:rsidRDefault="00422142" w:rsidP="00422142">
            <w:pPr>
              <w:jc w:val="both"/>
              <w:rPr>
                <w:rFonts w:ascii="Times New Roman" w:eastAsia="Times New Roman" w:hAnsi="Times New Roman" w:cs="Times New Roman"/>
                <w:b/>
                <w:sz w:val="24"/>
                <w:szCs w:val="24"/>
                <w:lang w:val="en-GB" w:eastAsia="hu-HU"/>
              </w:rPr>
            </w:pPr>
            <w:r w:rsidRPr="00422142">
              <w:rPr>
                <w:rFonts w:ascii="Times New Roman" w:eastAsia="Times New Roman" w:hAnsi="Times New Roman" w:cs="Times New Roman"/>
                <w:b/>
                <w:sz w:val="24"/>
                <w:szCs w:val="24"/>
                <w:lang w:val="en-GB" w:eastAsia="hu-HU"/>
              </w:rPr>
              <w:t>D</w:t>
            </w:r>
            <w:r w:rsidRPr="00422142">
              <w:rPr>
                <w:rFonts w:ascii="Times New Roman" w:eastAsia="Times New Roman" w:hAnsi="Times New Roman" w:cs="Times New Roman"/>
                <w:b/>
                <w:sz w:val="24"/>
                <w:szCs w:val="24"/>
                <w:lang w:val="en-GB" w:eastAsia="hu-HU"/>
              </w:rPr>
              <w:t xml:space="preserve">r. Petra Bárd </w:t>
            </w:r>
          </w:p>
          <w:p w14:paraId="1FD5DA63" w14:textId="77777777" w:rsidR="00422142" w:rsidRPr="00422142" w:rsidRDefault="00422142" w:rsidP="00422142">
            <w:pPr>
              <w:jc w:val="both"/>
              <w:rPr>
                <w:rFonts w:ascii="Times New Roman" w:eastAsia="Times New Roman" w:hAnsi="Times New Roman" w:cs="Times New Roman"/>
                <w:sz w:val="24"/>
                <w:szCs w:val="24"/>
                <w:lang w:val="en-GB" w:eastAsia="hu-HU"/>
              </w:rPr>
            </w:pPr>
            <w:r w:rsidRPr="00422142">
              <w:rPr>
                <w:rFonts w:ascii="Times New Roman" w:eastAsia="Times New Roman" w:hAnsi="Times New Roman" w:cs="Times New Roman"/>
                <w:sz w:val="24"/>
                <w:szCs w:val="24"/>
                <w:lang w:val="en-GB" w:eastAsia="hu-HU"/>
              </w:rPr>
              <w:t>senior lecturer, Department of criminology (ELTE)</w:t>
            </w:r>
          </w:p>
          <w:p w14:paraId="6A27DDE8" w14:textId="77777777" w:rsidR="00422142" w:rsidRPr="00422142" w:rsidRDefault="00422142" w:rsidP="00422142">
            <w:pPr>
              <w:jc w:val="both"/>
              <w:rPr>
                <w:rFonts w:ascii="Times New Roman" w:eastAsia="Times New Roman" w:hAnsi="Times New Roman" w:cs="Times New Roman"/>
                <w:sz w:val="24"/>
                <w:szCs w:val="24"/>
                <w:lang w:val="en-GB" w:eastAsia="hu-HU"/>
              </w:rPr>
            </w:pPr>
            <w:r w:rsidRPr="00422142">
              <w:rPr>
                <w:rFonts w:ascii="Times New Roman" w:eastAsia="Times New Roman" w:hAnsi="Times New Roman" w:cs="Times New Roman"/>
                <w:sz w:val="24"/>
                <w:szCs w:val="24"/>
                <w:lang w:val="en-GB" w:eastAsia="hu-HU"/>
              </w:rPr>
              <w:t xml:space="preserve">e-mail: </w:t>
            </w:r>
            <w:hyperlink r:id="rId8" w:history="1">
              <w:r w:rsidRPr="00422142">
                <w:rPr>
                  <w:rFonts w:ascii="Times New Roman" w:eastAsia="Times New Roman" w:hAnsi="Times New Roman" w:cs="Times New Roman"/>
                  <w:color w:val="0000FF"/>
                  <w:sz w:val="24"/>
                  <w:szCs w:val="24"/>
                  <w:u w:val="single"/>
                  <w:lang w:val="en-GB" w:eastAsia="hu-HU"/>
                </w:rPr>
                <w:t>petra.bard@ajk.elte.hu</w:t>
              </w:r>
            </w:hyperlink>
          </w:p>
          <w:p w14:paraId="3C959155" w14:textId="326E517D" w:rsidR="0013685C" w:rsidRPr="00422142" w:rsidRDefault="0013685C" w:rsidP="00B91483">
            <w:pPr>
              <w:autoSpaceDE w:val="0"/>
              <w:autoSpaceDN w:val="0"/>
              <w:adjustRightInd w:val="0"/>
              <w:jc w:val="both"/>
              <w:rPr>
                <w:rFonts w:ascii="Times New Roman" w:eastAsia="MS Mincho" w:hAnsi="Times New Roman" w:cs="Times New Roman"/>
                <w:b/>
                <w:bCs/>
                <w:sz w:val="24"/>
                <w:szCs w:val="24"/>
                <w:lang w:val="en-GB"/>
              </w:rPr>
            </w:pPr>
          </w:p>
        </w:tc>
      </w:tr>
      <w:tr w:rsidR="0013685C" w:rsidRPr="00422142" w14:paraId="4A8773B5" w14:textId="50F53F5F" w:rsidTr="004B15C4">
        <w:trPr>
          <w:trHeight w:val="2211"/>
        </w:trPr>
        <w:tc>
          <w:tcPr>
            <w:tcW w:w="2573" w:type="dxa"/>
          </w:tcPr>
          <w:p w14:paraId="3F2D5E4D" w14:textId="77777777" w:rsidR="0013685C" w:rsidRPr="00422142" w:rsidRDefault="0013685C" w:rsidP="00B91483">
            <w:pPr>
              <w:autoSpaceDE w:val="0"/>
              <w:autoSpaceDN w:val="0"/>
              <w:adjustRightInd w:val="0"/>
              <w:jc w:val="both"/>
              <w:rPr>
                <w:rFonts w:ascii="Times New Roman" w:eastAsia="MS Mincho" w:hAnsi="Times New Roman" w:cs="Times New Roman"/>
                <w:b/>
                <w:bCs/>
                <w:sz w:val="24"/>
                <w:szCs w:val="24"/>
              </w:rPr>
            </w:pPr>
            <w:proofErr w:type="spellStart"/>
            <w:r w:rsidRPr="00422142">
              <w:rPr>
                <w:rStyle w:val="Hiperhivatkozs"/>
                <w:rFonts w:ascii="Times New Roman" w:eastAsia="MS Mincho" w:hAnsi="Times New Roman" w:cs="Times New Roman"/>
                <w:b/>
                <w:bCs/>
                <w:color w:val="auto"/>
                <w:sz w:val="24"/>
                <w:szCs w:val="24"/>
                <w:u w:val="none"/>
              </w:rPr>
              <w:t>Brief</w:t>
            </w:r>
            <w:proofErr w:type="spellEnd"/>
            <w:r w:rsidRPr="00422142">
              <w:rPr>
                <w:rStyle w:val="Hiperhivatkozs"/>
                <w:rFonts w:ascii="Times New Roman" w:eastAsia="MS Mincho" w:hAnsi="Times New Roman" w:cs="Times New Roman"/>
                <w:b/>
                <w:bCs/>
                <w:color w:val="auto"/>
                <w:sz w:val="24"/>
                <w:szCs w:val="24"/>
                <w:u w:val="none"/>
              </w:rPr>
              <w:t xml:space="preserve"> </w:t>
            </w:r>
            <w:proofErr w:type="spellStart"/>
            <w:r w:rsidRPr="00422142">
              <w:rPr>
                <w:rStyle w:val="Hiperhivatkozs"/>
                <w:rFonts w:ascii="Times New Roman" w:eastAsia="MS Mincho" w:hAnsi="Times New Roman" w:cs="Times New Roman"/>
                <w:b/>
                <w:bCs/>
                <w:color w:val="auto"/>
                <w:sz w:val="24"/>
                <w:szCs w:val="24"/>
                <w:u w:val="none"/>
              </w:rPr>
              <w:t>description</w:t>
            </w:r>
            <w:proofErr w:type="spellEnd"/>
          </w:p>
        </w:tc>
        <w:tc>
          <w:tcPr>
            <w:tcW w:w="6489" w:type="dxa"/>
          </w:tcPr>
          <w:p w14:paraId="64FB887A" w14:textId="77777777" w:rsidR="007C412C" w:rsidRPr="00422142" w:rsidRDefault="007C412C" w:rsidP="007C412C">
            <w:pPr>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The course </w:t>
            </w:r>
            <w:proofErr w:type="gramStart"/>
            <w:r w:rsidRPr="00422142">
              <w:rPr>
                <w:rFonts w:ascii="Times New Roman" w:hAnsi="Times New Roman" w:cs="Times New Roman"/>
                <w:sz w:val="24"/>
                <w:szCs w:val="24"/>
                <w:lang w:val="en-GB"/>
              </w:rPr>
              <w:t>is embedded</w:t>
            </w:r>
            <w:proofErr w:type="gramEnd"/>
            <w:r w:rsidRPr="00422142">
              <w:rPr>
                <w:rFonts w:ascii="Times New Roman" w:hAnsi="Times New Roman" w:cs="Times New Roman"/>
                <w:sz w:val="24"/>
                <w:szCs w:val="24"/>
                <w:lang w:val="en-GB"/>
              </w:rPr>
              <w:t xml:space="preserve"> in the general framework of the balance drawn between human rights and civil liberties on the one hand and public order, public security, crime prevention and prosecution on the other. From another </w:t>
            </w:r>
            <w:proofErr w:type="gramStart"/>
            <w:r w:rsidRPr="00422142">
              <w:rPr>
                <w:rFonts w:ascii="Times New Roman" w:hAnsi="Times New Roman" w:cs="Times New Roman"/>
                <w:sz w:val="24"/>
                <w:szCs w:val="24"/>
                <w:lang w:val="en-GB"/>
              </w:rPr>
              <w:t>viewpoint</w:t>
            </w:r>
            <w:proofErr w:type="gramEnd"/>
            <w:r w:rsidRPr="00422142">
              <w:rPr>
                <w:rFonts w:ascii="Times New Roman" w:hAnsi="Times New Roman" w:cs="Times New Roman"/>
                <w:sz w:val="24"/>
                <w:szCs w:val="24"/>
                <w:lang w:val="en-GB"/>
              </w:rPr>
              <w:t xml:space="preserve"> the course will demonstrate the shift away from national criminal sovereignty and the gradual move towards the intergovernmental method in the area of EU criminal justice.</w:t>
            </w:r>
          </w:p>
          <w:p w14:paraId="20AF9A1F" w14:textId="77777777" w:rsidR="007C412C" w:rsidRPr="00422142" w:rsidRDefault="007C412C" w:rsidP="007C412C">
            <w:pPr>
              <w:rPr>
                <w:rFonts w:ascii="Times New Roman" w:hAnsi="Times New Roman" w:cs="Times New Roman"/>
                <w:sz w:val="24"/>
                <w:szCs w:val="24"/>
                <w:lang w:val="en-GB"/>
              </w:rPr>
            </w:pPr>
            <w:r w:rsidRPr="00422142">
              <w:rPr>
                <w:rStyle w:val="newshead"/>
                <w:rFonts w:ascii="Times New Roman" w:hAnsi="Times New Roman" w:cs="Times New Roman"/>
                <w:sz w:val="24"/>
                <w:szCs w:val="24"/>
                <w:lang w:val="en-GB"/>
              </w:rPr>
              <w:t xml:space="preserve">The first aim of the course </w:t>
            </w:r>
            <w:r w:rsidRPr="00422142">
              <w:rPr>
                <w:rFonts w:ascii="Times New Roman" w:hAnsi="Times New Roman" w:cs="Times New Roman"/>
                <w:sz w:val="24"/>
                <w:szCs w:val="24"/>
                <w:lang w:val="en-GB"/>
              </w:rPr>
              <w:t xml:space="preserve">is to give a good understanding of the European Union’s fundamental rights protection mechanism including the case law elaborated throughout the past decades, </w:t>
            </w:r>
            <w:proofErr w:type="gramStart"/>
            <w:r w:rsidRPr="00422142">
              <w:rPr>
                <w:rFonts w:ascii="Times New Roman" w:hAnsi="Times New Roman" w:cs="Times New Roman"/>
                <w:sz w:val="24"/>
                <w:szCs w:val="24"/>
                <w:lang w:val="en-GB"/>
              </w:rPr>
              <w:t>and also</w:t>
            </w:r>
            <w:proofErr w:type="gramEnd"/>
            <w:r w:rsidRPr="00422142">
              <w:rPr>
                <w:rFonts w:ascii="Times New Roman" w:hAnsi="Times New Roman" w:cs="Times New Roman"/>
                <w:sz w:val="24"/>
                <w:szCs w:val="24"/>
                <w:lang w:val="en-GB"/>
              </w:rPr>
              <w:t xml:space="preserve"> including the most recent developments in the jurisprudence of the Court of Justice of the European Union (CJEU). Content and status of the Charter of Fundamental Rights will be </w:t>
            </w:r>
            <w:proofErr w:type="gramStart"/>
            <w:r w:rsidRPr="00422142">
              <w:rPr>
                <w:rFonts w:ascii="Times New Roman" w:hAnsi="Times New Roman" w:cs="Times New Roman"/>
                <w:sz w:val="24"/>
                <w:szCs w:val="24"/>
                <w:lang w:val="en-GB"/>
              </w:rPr>
              <w:t>discussed,</w:t>
            </w:r>
            <w:proofErr w:type="gramEnd"/>
            <w:r w:rsidRPr="00422142">
              <w:rPr>
                <w:rFonts w:ascii="Times New Roman" w:hAnsi="Times New Roman" w:cs="Times New Roman"/>
                <w:sz w:val="24"/>
                <w:szCs w:val="24"/>
                <w:lang w:val="en-GB"/>
              </w:rPr>
              <w:t xml:space="preserve"> the role of the Fundamental Rights Agency, the relationship between the Charter and the European Convention on Human Rights, as well as that of the highest European courts, the CJEU and the European Court of Human Rights will be explored. The course aims at making students understand the overall fundamental rights protection system of the Union, the tensions and interplay between the various organs responsible for the enforcement of human rights </w:t>
            </w:r>
            <w:proofErr w:type="gramStart"/>
            <w:r w:rsidRPr="00422142">
              <w:rPr>
                <w:rFonts w:ascii="Times New Roman" w:hAnsi="Times New Roman" w:cs="Times New Roman"/>
                <w:sz w:val="24"/>
                <w:szCs w:val="24"/>
                <w:lang w:val="en-GB"/>
              </w:rPr>
              <w:t>on the European continent, and to provide students with an intelligent approach to handle human rights cases involving a European element</w:t>
            </w:r>
            <w:proofErr w:type="gramEnd"/>
            <w:r w:rsidRPr="00422142">
              <w:rPr>
                <w:rFonts w:ascii="Times New Roman" w:hAnsi="Times New Roman" w:cs="Times New Roman"/>
                <w:sz w:val="24"/>
                <w:szCs w:val="24"/>
                <w:lang w:val="en-GB"/>
              </w:rPr>
              <w:t>.</w:t>
            </w:r>
          </w:p>
          <w:p w14:paraId="0BB85D06" w14:textId="7551C8C1" w:rsidR="007C412C" w:rsidRPr="00422142" w:rsidRDefault="007C412C" w:rsidP="007C412C">
            <w:pPr>
              <w:adjustRightInd w:val="0"/>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The second aim of the course is to introduce students into European criminal justice. Course participants will be made familiar with the initial steps taken under the headings ‘Justice and Home Affairs’ and later ‘Police and Judicial Cooperation in Criminal Matters’, i.e. under the former third pillar of the European Union. The Lisbon Treaty, i.e. Title IV </w:t>
            </w:r>
            <w:r w:rsidRPr="00422142">
              <w:rPr>
                <w:rFonts w:ascii="Times New Roman" w:hAnsi="Times New Roman" w:cs="Times New Roman"/>
                <w:sz w:val="24"/>
                <w:szCs w:val="24"/>
                <w:lang w:val="en-GB"/>
              </w:rPr>
              <w:lastRenderedPageBreak/>
              <w:t xml:space="preserve">of the Treaty on the Functioning of the European Union currently in force </w:t>
            </w:r>
            <w:proofErr w:type="gramStart"/>
            <w:r w:rsidRPr="00422142">
              <w:rPr>
                <w:rFonts w:ascii="Times New Roman" w:hAnsi="Times New Roman" w:cs="Times New Roman"/>
                <w:sz w:val="24"/>
                <w:szCs w:val="24"/>
                <w:lang w:val="en-GB"/>
              </w:rPr>
              <w:t>will be addressed</w:t>
            </w:r>
            <w:proofErr w:type="gramEnd"/>
            <w:r w:rsidRPr="00422142">
              <w:rPr>
                <w:rFonts w:ascii="Times New Roman" w:hAnsi="Times New Roman" w:cs="Times New Roman"/>
                <w:sz w:val="24"/>
                <w:szCs w:val="24"/>
                <w:lang w:val="en-GB"/>
              </w:rPr>
              <w:t xml:space="preserve"> in more detail and how criminal law is addressed in an area of freedom, security and justice by most of the Member States. Relevant parts of the Tampere, Hague and Stockholm multi-annual programs, and the Action Plan implementing the last </w:t>
            </w:r>
            <w:proofErr w:type="gramStart"/>
            <w:r w:rsidRPr="00422142">
              <w:rPr>
                <w:rFonts w:ascii="Times New Roman" w:hAnsi="Times New Roman" w:cs="Times New Roman"/>
                <w:sz w:val="24"/>
                <w:szCs w:val="24"/>
                <w:lang w:val="en-GB"/>
              </w:rPr>
              <w:t>will be singled out</w:t>
            </w:r>
            <w:proofErr w:type="gramEnd"/>
            <w:r w:rsidRPr="00422142">
              <w:rPr>
                <w:rFonts w:ascii="Times New Roman" w:hAnsi="Times New Roman" w:cs="Times New Roman"/>
                <w:sz w:val="24"/>
                <w:szCs w:val="24"/>
                <w:lang w:val="en-GB"/>
              </w:rPr>
              <w:t>. Institutional actors in the area of criminal justice, and the strengthened role of the European Parliament will be presented before discussing the merits of police cooperation, judicial cooperation, external cooperation in criminal justice (with an emphasis on EU-US counter-terrorism co-operation), mutual recognition (including a discussion on the European Arrest Warrant). Leading cases of the Court of Justice of the European Union will highlight the main issues in the development of EU criminal justice.</w:t>
            </w:r>
          </w:p>
          <w:p w14:paraId="5D8F9942" w14:textId="77777777" w:rsidR="009A0A97" w:rsidRPr="00422142" w:rsidRDefault="009A0A97" w:rsidP="007C412C">
            <w:pPr>
              <w:adjustRightInd w:val="0"/>
              <w:rPr>
                <w:rFonts w:ascii="Times New Roman" w:hAnsi="Times New Roman" w:cs="Times New Roman"/>
                <w:sz w:val="24"/>
                <w:szCs w:val="24"/>
                <w:lang w:val="en-GB"/>
              </w:rPr>
            </w:pPr>
          </w:p>
          <w:p w14:paraId="5D96EF57" w14:textId="77777777" w:rsidR="001A2231" w:rsidRPr="00422142" w:rsidRDefault="001A2231" w:rsidP="001A2231">
            <w:pPr>
              <w:ind w:right="720"/>
              <w:rPr>
                <w:rFonts w:ascii="Times New Roman" w:hAnsi="Times New Roman" w:cs="Times New Roman"/>
                <w:b/>
                <w:sz w:val="24"/>
                <w:szCs w:val="24"/>
                <w:lang w:val="en-GB"/>
              </w:rPr>
            </w:pPr>
            <w:r w:rsidRPr="00422142">
              <w:rPr>
                <w:rFonts w:ascii="Times New Roman" w:hAnsi="Times New Roman" w:cs="Times New Roman"/>
                <w:b/>
                <w:smallCaps/>
                <w:sz w:val="24"/>
                <w:szCs w:val="24"/>
                <w:lang w:val="en-GB"/>
              </w:rPr>
              <w:t>Course materials</w:t>
            </w:r>
            <w:r w:rsidRPr="00422142">
              <w:rPr>
                <w:rFonts w:ascii="Times New Roman" w:hAnsi="Times New Roman" w:cs="Times New Roman"/>
                <w:b/>
                <w:sz w:val="24"/>
                <w:szCs w:val="24"/>
                <w:lang w:val="en-GB"/>
              </w:rPr>
              <w:t>:</w:t>
            </w:r>
          </w:p>
          <w:p w14:paraId="7AA66C55" w14:textId="62037E26" w:rsidR="001A2231" w:rsidRPr="00422142" w:rsidRDefault="001A2231" w:rsidP="001A2231">
            <w:pPr>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The main course materials are the English-language book chapters and articles indicated at the online platform. A number of materials required for the successful completion of this course </w:t>
            </w:r>
            <w:proofErr w:type="gramStart"/>
            <w:r w:rsidRPr="00422142">
              <w:rPr>
                <w:rFonts w:ascii="Times New Roman" w:hAnsi="Times New Roman" w:cs="Times New Roman"/>
                <w:sz w:val="24"/>
                <w:szCs w:val="24"/>
                <w:lang w:val="en-GB"/>
              </w:rPr>
              <w:t>are however purposefully not reproduced</w:t>
            </w:r>
            <w:proofErr w:type="gramEnd"/>
            <w:r w:rsidRPr="00422142">
              <w:rPr>
                <w:rFonts w:ascii="Times New Roman" w:hAnsi="Times New Roman" w:cs="Times New Roman"/>
                <w:sz w:val="24"/>
                <w:szCs w:val="24"/>
                <w:lang w:val="en-GB"/>
              </w:rPr>
              <w:t xml:space="preserve">. The skill to locate legal materials quickly and efficiently is an asset that scholars and legal practitioners cannot afford to ignore. Successful acquisition of these materials is considered </w:t>
            </w:r>
            <w:proofErr w:type="gramStart"/>
            <w:r w:rsidRPr="00422142">
              <w:rPr>
                <w:rFonts w:ascii="Times New Roman" w:hAnsi="Times New Roman" w:cs="Times New Roman"/>
                <w:sz w:val="24"/>
                <w:szCs w:val="24"/>
                <w:lang w:val="en-GB"/>
              </w:rPr>
              <w:t>to be part</w:t>
            </w:r>
            <w:proofErr w:type="gramEnd"/>
            <w:r w:rsidRPr="00422142">
              <w:rPr>
                <w:rFonts w:ascii="Times New Roman" w:hAnsi="Times New Roman" w:cs="Times New Roman"/>
                <w:sz w:val="24"/>
                <w:szCs w:val="24"/>
                <w:lang w:val="en-GB"/>
              </w:rPr>
              <w:t xml:space="preserve"> of class participation. All materials not reproduced at the online platform are available electronically on the world wide web free of charge. Students are required to obtain their own copies thereof. Xerox-copies of materials located by another student are not acceptable for the purposes of the course. Materials </w:t>
            </w:r>
            <w:proofErr w:type="gramStart"/>
            <w:r w:rsidRPr="00422142">
              <w:rPr>
                <w:rFonts w:ascii="Times New Roman" w:hAnsi="Times New Roman" w:cs="Times New Roman"/>
                <w:sz w:val="24"/>
                <w:szCs w:val="24"/>
                <w:lang w:val="en-GB"/>
              </w:rPr>
              <w:t>can only be accepted</w:t>
            </w:r>
            <w:proofErr w:type="gramEnd"/>
            <w:r w:rsidRPr="00422142">
              <w:rPr>
                <w:rFonts w:ascii="Times New Roman" w:hAnsi="Times New Roman" w:cs="Times New Roman"/>
                <w:sz w:val="24"/>
                <w:szCs w:val="24"/>
                <w:lang w:val="en-GB"/>
              </w:rPr>
              <w:t xml:space="preserve"> in English language.</w:t>
            </w:r>
          </w:p>
          <w:p w14:paraId="6B8D0304" w14:textId="45365559" w:rsidR="0013685C" w:rsidRPr="00422142" w:rsidRDefault="0013685C" w:rsidP="00B91483">
            <w:pPr>
              <w:autoSpaceDE w:val="0"/>
              <w:autoSpaceDN w:val="0"/>
              <w:adjustRightInd w:val="0"/>
              <w:jc w:val="both"/>
              <w:rPr>
                <w:rStyle w:val="Hiperhivatkozs"/>
                <w:rFonts w:ascii="Times New Roman" w:eastAsia="MS Mincho" w:hAnsi="Times New Roman" w:cs="Times New Roman"/>
                <w:b/>
                <w:bCs/>
                <w:color w:val="auto"/>
                <w:sz w:val="24"/>
                <w:szCs w:val="24"/>
                <w:u w:val="none"/>
              </w:rPr>
            </w:pPr>
          </w:p>
        </w:tc>
      </w:tr>
    </w:tbl>
    <w:p w14:paraId="2F65F116" w14:textId="459823CD" w:rsidR="004B15C4" w:rsidRPr="00422142" w:rsidRDefault="004B15C4">
      <w:pP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595"/>
        <w:gridCol w:w="6467"/>
      </w:tblGrid>
      <w:tr w:rsidR="0013685C" w:rsidRPr="00422142" w14:paraId="3A0A4B71" w14:textId="1BB992B0" w:rsidTr="004B15C4">
        <w:trPr>
          <w:trHeight w:val="2211"/>
        </w:trPr>
        <w:tc>
          <w:tcPr>
            <w:tcW w:w="2573" w:type="dxa"/>
          </w:tcPr>
          <w:p w14:paraId="496EC863" w14:textId="6D8556F5" w:rsidR="0013685C" w:rsidRPr="00422142"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lastRenderedPageBreak/>
              <w:t>Schedule</w:t>
            </w:r>
          </w:p>
        </w:tc>
        <w:tc>
          <w:tcPr>
            <w:tcW w:w="6489" w:type="dxa"/>
          </w:tcPr>
          <w:p w14:paraId="0575372D" w14:textId="420CDBEE" w:rsidR="00BB4823" w:rsidRPr="00422142" w:rsidRDefault="00843161" w:rsidP="002B0E84">
            <w:pPr>
              <w:autoSpaceDE w:val="0"/>
              <w:autoSpaceDN w:val="0"/>
              <w:adjustRightInd w:val="0"/>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1</w:t>
            </w:r>
            <w:r w:rsidR="009A0A97" w:rsidRPr="00422142">
              <w:rPr>
                <w:rFonts w:ascii="Times New Roman" w:eastAsia="MS Mincho" w:hAnsi="Times New Roman" w:cs="Times New Roman"/>
                <w:b/>
                <w:bCs/>
                <w:sz w:val="24"/>
                <w:szCs w:val="24"/>
                <w:lang w:val="en-US"/>
              </w:rPr>
              <w:t xml:space="preserve">. </w:t>
            </w:r>
            <w:r w:rsidR="00BB4823" w:rsidRPr="00422142">
              <w:rPr>
                <w:rFonts w:ascii="Times New Roman" w:eastAsia="MS Mincho" w:hAnsi="Times New Roman" w:cs="Times New Roman"/>
                <w:b/>
                <w:bCs/>
                <w:sz w:val="24"/>
                <w:szCs w:val="24"/>
                <w:lang w:val="en-US"/>
              </w:rPr>
              <w:t>History of EU integration</w:t>
            </w:r>
          </w:p>
          <w:p w14:paraId="7CD25FC8" w14:textId="77777777" w:rsidR="00BB4823" w:rsidRPr="00422142" w:rsidRDefault="00BB4823" w:rsidP="00BB4823">
            <w:pPr>
              <w:autoSpaceDE w:val="0"/>
              <w:autoSpaceDN w:val="0"/>
              <w:adjustRightInd w:val="0"/>
              <w:jc w:val="both"/>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Vertical and horizontal separation of powers</w:t>
            </w:r>
          </w:p>
          <w:p w14:paraId="2DB182D4" w14:textId="77777777" w:rsidR="00BB4823" w:rsidRPr="00422142" w:rsidRDefault="00BB4823" w:rsidP="00BB4823">
            <w:pPr>
              <w:autoSpaceDE w:val="0"/>
              <w:autoSpaceDN w:val="0"/>
              <w:adjustRightInd w:val="0"/>
              <w:jc w:val="both"/>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The legislative process, legal instruments and their nature</w:t>
            </w:r>
          </w:p>
          <w:p w14:paraId="263BD483" w14:textId="20ED17C6" w:rsidR="00E85236" w:rsidRPr="00422142" w:rsidRDefault="00BB4823" w:rsidP="002F323B">
            <w:pPr>
              <w:autoSpaceDE w:val="0"/>
              <w:autoSpaceDN w:val="0"/>
              <w:adjustRightInd w:val="0"/>
              <w:rPr>
                <w:rFonts w:ascii="Times New Roman" w:eastAsia="MS Mincho" w:hAnsi="Times New Roman" w:cs="Times New Roman"/>
                <w:sz w:val="24"/>
                <w:szCs w:val="24"/>
                <w:lang w:val="en-US"/>
              </w:rPr>
            </w:pPr>
            <w:r w:rsidRPr="00422142">
              <w:rPr>
                <w:rFonts w:ascii="Times New Roman" w:eastAsia="MS Mincho" w:hAnsi="Times New Roman" w:cs="Times New Roman"/>
                <w:b/>
                <w:bCs/>
                <w:sz w:val="24"/>
                <w:szCs w:val="24"/>
                <w:lang w:val="en-US"/>
              </w:rPr>
              <w:t>The Court of Justice. Enforcement of EU law in front of national and EU courts, with a special focus to the right to an effective remedy</w:t>
            </w:r>
            <w:r w:rsidR="002B0E84" w:rsidRPr="00422142">
              <w:rPr>
                <w:rFonts w:ascii="Times New Roman" w:eastAsia="MS Mincho" w:hAnsi="Times New Roman" w:cs="Times New Roman"/>
                <w:b/>
                <w:bCs/>
                <w:sz w:val="24"/>
                <w:szCs w:val="24"/>
                <w:lang w:val="en-US"/>
              </w:rPr>
              <w:t xml:space="preserve"> </w:t>
            </w:r>
            <w:r w:rsidR="004B15C4" w:rsidRPr="00422142">
              <w:rPr>
                <w:rFonts w:ascii="Times New Roman" w:eastAsia="MS Mincho" w:hAnsi="Times New Roman" w:cs="Times New Roman"/>
                <w:b/>
                <w:bCs/>
                <w:sz w:val="24"/>
                <w:szCs w:val="24"/>
                <w:lang w:val="en-US"/>
              </w:rPr>
              <w:br/>
            </w:r>
            <w:r w:rsidR="002B0E84" w:rsidRPr="00422142">
              <w:rPr>
                <w:rFonts w:ascii="Times New Roman" w:eastAsia="MS Mincho" w:hAnsi="Times New Roman" w:cs="Times New Roman"/>
                <w:b/>
                <w:bCs/>
                <w:color w:val="00B050"/>
                <w:sz w:val="24"/>
                <w:szCs w:val="24"/>
                <w:lang w:val="en-US"/>
              </w:rPr>
              <w:t>7 October 2022</w:t>
            </w:r>
            <w:r w:rsidR="00E85236" w:rsidRPr="00422142">
              <w:rPr>
                <w:rFonts w:ascii="Times New Roman" w:eastAsia="MS Mincho" w:hAnsi="Times New Roman" w:cs="Times New Roman"/>
                <w:b/>
                <w:bCs/>
                <w:sz w:val="24"/>
                <w:szCs w:val="24"/>
                <w:lang w:val="en-US"/>
              </w:rPr>
              <w:br/>
            </w:r>
            <w:r w:rsidR="00E85236" w:rsidRPr="00422142">
              <w:rPr>
                <w:rFonts w:ascii="Times New Roman" w:eastAsia="MS Mincho" w:hAnsi="Times New Roman" w:cs="Times New Roman"/>
                <w:sz w:val="24"/>
                <w:szCs w:val="24"/>
                <w:lang w:val="en-US"/>
              </w:rPr>
              <w:t xml:space="preserve">The class addresses the history of European integration starting with the initial calls for a „United States of Europe” and the main integration theories </w:t>
            </w:r>
            <w:proofErr w:type="gramStart"/>
            <w:r w:rsidR="00E85236" w:rsidRPr="00422142">
              <w:rPr>
                <w:rFonts w:ascii="Times New Roman" w:eastAsia="MS Mincho" w:hAnsi="Times New Roman" w:cs="Times New Roman"/>
                <w:sz w:val="24"/>
                <w:szCs w:val="24"/>
                <w:lang w:val="en-US"/>
              </w:rPr>
              <w:t>will be discussed</w:t>
            </w:r>
            <w:proofErr w:type="gramEnd"/>
            <w:r w:rsidR="00E85236" w:rsidRPr="00422142">
              <w:rPr>
                <w:rFonts w:ascii="Times New Roman" w:eastAsia="MS Mincho" w:hAnsi="Times New Roman" w:cs="Times New Roman"/>
                <w:sz w:val="24"/>
                <w:szCs w:val="24"/>
                <w:lang w:val="en-US"/>
              </w:rPr>
              <w:t>.</w:t>
            </w:r>
          </w:p>
          <w:p w14:paraId="60546D12" w14:textId="77777777" w:rsidR="00E85236" w:rsidRPr="00422142" w:rsidRDefault="00E85236" w:rsidP="00E85236">
            <w:pPr>
              <w:autoSpaceDE w:val="0"/>
              <w:autoSpaceDN w:val="0"/>
              <w:adjustRightInd w:val="0"/>
              <w:jc w:val="both"/>
              <w:rPr>
                <w:rFonts w:ascii="Times New Roman" w:eastAsia="MS Mincho" w:hAnsi="Times New Roman" w:cs="Times New Roman"/>
                <w:sz w:val="24"/>
                <w:szCs w:val="24"/>
                <w:lang w:val="en-US"/>
              </w:rPr>
            </w:pPr>
            <w:r w:rsidRPr="00422142">
              <w:rPr>
                <w:rFonts w:ascii="Times New Roman" w:eastAsia="MS Mincho" w:hAnsi="Times New Roman" w:cs="Times New Roman"/>
                <w:sz w:val="24"/>
                <w:szCs w:val="24"/>
                <w:lang w:val="en-US"/>
              </w:rPr>
              <w:t xml:space="preserve">Principles of vertical separation of powers </w:t>
            </w:r>
            <w:proofErr w:type="gramStart"/>
            <w:r w:rsidRPr="00422142">
              <w:rPr>
                <w:rFonts w:ascii="Times New Roman" w:eastAsia="MS Mincho" w:hAnsi="Times New Roman" w:cs="Times New Roman"/>
                <w:sz w:val="24"/>
                <w:szCs w:val="24"/>
                <w:lang w:val="en-US"/>
              </w:rPr>
              <w:t>will be addressed</w:t>
            </w:r>
            <w:proofErr w:type="gramEnd"/>
            <w:r w:rsidRPr="00422142">
              <w:rPr>
                <w:rFonts w:ascii="Times New Roman" w:eastAsia="MS Mincho" w:hAnsi="Times New Roman" w:cs="Times New Roman"/>
                <w:sz w:val="24"/>
                <w:szCs w:val="24"/>
                <w:lang w:val="en-US"/>
              </w:rPr>
              <w:t xml:space="preserve">, and the division of powers between the institutions will be </w:t>
            </w:r>
            <w:proofErr w:type="spellStart"/>
            <w:r w:rsidRPr="00422142">
              <w:rPr>
                <w:rFonts w:ascii="Times New Roman" w:eastAsia="MS Mincho" w:hAnsi="Times New Roman" w:cs="Times New Roman"/>
                <w:sz w:val="24"/>
                <w:szCs w:val="24"/>
                <w:lang w:val="en-US"/>
              </w:rPr>
              <w:t>scrutinised</w:t>
            </w:r>
            <w:proofErr w:type="spellEnd"/>
            <w:r w:rsidRPr="00422142">
              <w:rPr>
                <w:rFonts w:ascii="Times New Roman" w:eastAsia="MS Mincho" w:hAnsi="Times New Roman" w:cs="Times New Roman"/>
                <w:sz w:val="24"/>
                <w:szCs w:val="24"/>
                <w:lang w:val="en-US"/>
              </w:rPr>
              <w:t>.</w:t>
            </w:r>
          </w:p>
          <w:p w14:paraId="3A0077CD" w14:textId="1E730989" w:rsidR="0013685C" w:rsidRPr="00422142" w:rsidRDefault="00E85236" w:rsidP="00E85236">
            <w:pPr>
              <w:autoSpaceDE w:val="0"/>
              <w:autoSpaceDN w:val="0"/>
              <w:adjustRightInd w:val="0"/>
              <w:jc w:val="both"/>
              <w:rPr>
                <w:rFonts w:ascii="Times New Roman" w:eastAsia="MS Mincho" w:hAnsi="Times New Roman" w:cs="Times New Roman"/>
                <w:sz w:val="24"/>
                <w:szCs w:val="24"/>
                <w:lang w:val="en-US"/>
              </w:rPr>
            </w:pPr>
            <w:r w:rsidRPr="00422142">
              <w:rPr>
                <w:rFonts w:ascii="Times New Roman" w:eastAsia="MS Mincho" w:hAnsi="Times New Roman" w:cs="Times New Roman"/>
                <w:sz w:val="24"/>
                <w:szCs w:val="24"/>
                <w:lang w:val="en-US"/>
              </w:rPr>
              <w:t xml:space="preserve">The various EU legislative processes </w:t>
            </w:r>
            <w:proofErr w:type="gramStart"/>
            <w:r w:rsidRPr="00422142">
              <w:rPr>
                <w:rFonts w:ascii="Times New Roman" w:eastAsia="MS Mincho" w:hAnsi="Times New Roman" w:cs="Times New Roman"/>
                <w:sz w:val="24"/>
                <w:szCs w:val="24"/>
                <w:lang w:val="en-US"/>
              </w:rPr>
              <w:t xml:space="preserve">will be </w:t>
            </w:r>
            <w:r w:rsidR="00F549E7" w:rsidRPr="00422142">
              <w:rPr>
                <w:rFonts w:ascii="Times New Roman" w:eastAsia="MS Mincho" w:hAnsi="Times New Roman" w:cs="Times New Roman"/>
                <w:sz w:val="24"/>
                <w:szCs w:val="24"/>
                <w:lang w:val="en-US"/>
              </w:rPr>
              <w:t>addressed</w:t>
            </w:r>
            <w:proofErr w:type="gramEnd"/>
            <w:r w:rsidR="00F549E7" w:rsidRPr="00422142">
              <w:rPr>
                <w:rFonts w:ascii="Times New Roman" w:eastAsia="MS Mincho" w:hAnsi="Times New Roman" w:cs="Times New Roman"/>
                <w:sz w:val="24"/>
                <w:szCs w:val="24"/>
                <w:lang w:val="en-US"/>
              </w:rPr>
              <w:t>,</w:t>
            </w:r>
            <w:r w:rsidRPr="00422142">
              <w:rPr>
                <w:rFonts w:ascii="Times New Roman" w:eastAsia="MS Mincho" w:hAnsi="Times New Roman" w:cs="Times New Roman"/>
                <w:sz w:val="24"/>
                <w:szCs w:val="24"/>
                <w:lang w:val="en-US"/>
              </w:rPr>
              <w:t xml:space="preserve"> and the legal instruments issued by these will be </w:t>
            </w:r>
            <w:proofErr w:type="spellStart"/>
            <w:r w:rsidRPr="00422142">
              <w:rPr>
                <w:rFonts w:ascii="Times New Roman" w:eastAsia="MS Mincho" w:hAnsi="Times New Roman" w:cs="Times New Roman"/>
                <w:sz w:val="24"/>
                <w:szCs w:val="24"/>
                <w:lang w:val="en-US"/>
              </w:rPr>
              <w:t>analysed</w:t>
            </w:r>
            <w:proofErr w:type="spellEnd"/>
            <w:r w:rsidRPr="00422142">
              <w:rPr>
                <w:rFonts w:ascii="Times New Roman" w:eastAsia="MS Mincho" w:hAnsi="Times New Roman" w:cs="Times New Roman"/>
                <w:sz w:val="24"/>
                <w:szCs w:val="24"/>
                <w:lang w:val="en-US"/>
              </w:rPr>
              <w:t>. Students are required to consult the website of the European Union discussing the main EU lawmaking procedure, the so-called ordinary legislative process.</w:t>
            </w:r>
          </w:p>
          <w:p w14:paraId="3E417ED2" w14:textId="77777777" w:rsidR="009A0A97" w:rsidRPr="00422142" w:rsidRDefault="009A0A97" w:rsidP="00E85236">
            <w:pPr>
              <w:autoSpaceDE w:val="0"/>
              <w:autoSpaceDN w:val="0"/>
              <w:adjustRightInd w:val="0"/>
              <w:jc w:val="both"/>
              <w:rPr>
                <w:rFonts w:ascii="Times New Roman" w:eastAsia="MS Mincho" w:hAnsi="Times New Roman" w:cs="Times New Roman"/>
                <w:sz w:val="24"/>
                <w:szCs w:val="24"/>
                <w:lang w:val="en-US"/>
              </w:rPr>
            </w:pPr>
          </w:p>
          <w:p w14:paraId="76B75708" w14:textId="4531D50B" w:rsidR="001E7C5B" w:rsidRPr="00422142" w:rsidRDefault="00843161" w:rsidP="002B0E84">
            <w:pPr>
              <w:autoSpaceDE w:val="0"/>
              <w:autoSpaceDN w:val="0"/>
              <w:adjustRightInd w:val="0"/>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2</w:t>
            </w:r>
            <w:r w:rsidR="009A0A97" w:rsidRPr="00422142">
              <w:rPr>
                <w:rFonts w:ascii="Times New Roman" w:eastAsia="MS Mincho" w:hAnsi="Times New Roman" w:cs="Times New Roman"/>
                <w:b/>
                <w:bCs/>
                <w:sz w:val="24"/>
                <w:szCs w:val="24"/>
                <w:lang w:val="en-US"/>
              </w:rPr>
              <w:t>.</w:t>
            </w:r>
            <w:r w:rsidR="001E7C5B" w:rsidRPr="00422142">
              <w:rPr>
                <w:rFonts w:ascii="Times New Roman" w:eastAsia="MS Mincho" w:hAnsi="Times New Roman" w:cs="Times New Roman"/>
                <w:b/>
                <w:bCs/>
                <w:sz w:val="24"/>
                <w:szCs w:val="24"/>
                <w:lang w:val="en-US"/>
              </w:rPr>
              <w:t xml:space="preserve"> The single market, citizenship and fundamental rights</w:t>
            </w:r>
          </w:p>
          <w:p w14:paraId="53FB0E95" w14:textId="77777777" w:rsidR="004B15C4" w:rsidRPr="00422142" w:rsidRDefault="001E7C5B" w:rsidP="002F323B">
            <w:pPr>
              <w:autoSpaceDE w:val="0"/>
              <w:autoSpaceDN w:val="0"/>
              <w:adjustRightInd w:val="0"/>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Equal treatment</w:t>
            </w:r>
            <w:r w:rsidR="002B0E84" w:rsidRPr="00422142">
              <w:rPr>
                <w:rFonts w:ascii="Times New Roman" w:eastAsia="MS Mincho" w:hAnsi="Times New Roman" w:cs="Times New Roman"/>
                <w:b/>
                <w:bCs/>
                <w:sz w:val="24"/>
                <w:szCs w:val="24"/>
                <w:lang w:val="en-US"/>
              </w:rPr>
              <w:t xml:space="preserve"> </w:t>
            </w:r>
          </w:p>
          <w:p w14:paraId="5A10ADC3" w14:textId="616B5413" w:rsidR="00E85236" w:rsidRPr="00422142" w:rsidRDefault="002B0E84" w:rsidP="002F323B">
            <w:pPr>
              <w:autoSpaceDE w:val="0"/>
              <w:autoSpaceDN w:val="0"/>
              <w:adjustRightInd w:val="0"/>
              <w:rPr>
                <w:rFonts w:ascii="Times New Roman" w:eastAsia="MS Mincho" w:hAnsi="Times New Roman" w:cs="Times New Roman"/>
                <w:sz w:val="24"/>
                <w:szCs w:val="24"/>
                <w:lang w:val="en-US"/>
              </w:rPr>
            </w:pPr>
            <w:r w:rsidRPr="00422142">
              <w:rPr>
                <w:rFonts w:ascii="Times New Roman" w:eastAsia="MS Mincho" w:hAnsi="Times New Roman" w:cs="Times New Roman"/>
                <w:b/>
                <w:bCs/>
                <w:color w:val="00B050"/>
                <w:sz w:val="24"/>
                <w:szCs w:val="24"/>
                <w:lang w:val="en-US"/>
              </w:rPr>
              <w:t>21 October 2022</w:t>
            </w:r>
            <w:r w:rsidR="00E85236" w:rsidRPr="00422142">
              <w:rPr>
                <w:rFonts w:ascii="Times New Roman" w:eastAsia="MS Mincho" w:hAnsi="Times New Roman" w:cs="Times New Roman"/>
                <w:b/>
                <w:bCs/>
                <w:sz w:val="24"/>
                <w:szCs w:val="24"/>
                <w:lang w:val="en-US"/>
              </w:rPr>
              <w:br/>
            </w:r>
            <w:r w:rsidR="00E85236" w:rsidRPr="00422142">
              <w:rPr>
                <w:rFonts w:ascii="Times New Roman" w:eastAsia="MS Mincho" w:hAnsi="Times New Roman" w:cs="Times New Roman"/>
                <w:sz w:val="24"/>
                <w:szCs w:val="24"/>
                <w:lang w:val="en-US"/>
              </w:rPr>
              <w:t xml:space="preserve">The single market and the emerging concept of European citizenship </w:t>
            </w:r>
            <w:proofErr w:type="gramStart"/>
            <w:r w:rsidR="00E85236" w:rsidRPr="00422142">
              <w:rPr>
                <w:rFonts w:ascii="Times New Roman" w:eastAsia="MS Mincho" w:hAnsi="Times New Roman" w:cs="Times New Roman"/>
                <w:sz w:val="24"/>
                <w:szCs w:val="24"/>
                <w:lang w:val="en-US"/>
              </w:rPr>
              <w:t>will be evaluated</w:t>
            </w:r>
            <w:proofErr w:type="gramEnd"/>
            <w:r w:rsidR="00E85236" w:rsidRPr="00422142">
              <w:rPr>
                <w:rFonts w:ascii="Times New Roman" w:eastAsia="MS Mincho" w:hAnsi="Times New Roman" w:cs="Times New Roman"/>
                <w:sz w:val="24"/>
                <w:szCs w:val="24"/>
                <w:lang w:val="en-US"/>
              </w:rPr>
              <w:t xml:space="preserve"> in light of the ECJ’s case law.</w:t>
            </w:r>
          </w:p>
          <w:p w14:paraId="1E96ED2B" w14:textId="71AB2503" w:rsidR="00843161" w:rsidRPr="00422142" w:rsidRDefault="00E85236" w:rsidP="002F323B">
            <w:pPr>
              <w:autoSpaceDE w:val="0"/>
              <w:autoSpaceDN w:val="0"/>
              <w:adjustRightInd w:val="0"/>
              <w:jc w:val="both"/>
              <w:rPr>
                <w:rFonts w:ascii="Times New Roman" w:eastAsia="MS Mincho" w:hAnsi="Times New Roman" w:cs="Times New Roman"/>
                <w:sz w:val="24"/>
                <w:szCs w:val="24"/>
                <w:lang w:val="en-US"/>
              </w:rPr>
            </w:pPr>
            <w:r w:rsidRPr="00422142">
              <w:rPr>
                <w:rFonts w:ascii="Times New Roman" w:eastAsia="MS Mincho" w:hAnsi="Times New Roman" w:cs="Times New Roman"/>
                <w:sz w:val="24"/>
                <w:szCs w:val="24"/>
                <w:lang w:val="en-US"/>
              </w:rPr>
              <w:t xml:space="preserve">The respective sources of primary and secondary EU law addressing discrimination – first and foremost workplace discrimination – </w:t>
            </w:r>
            <w:proofErr w:type="gramStart"/>
            <w:r w:rsidRPr="00422142">
              <w:rPr>
                <w:rFonts w:ascii="Times New Roman" w:eastAsia="MS Mincho" w:hAnsi="Times New Roman" w:cs="Times New Roman"/>
                <w:sz w:val="24"/>
                <w:szCs w:val="24"/>
                <w:lang w:val="en-US"/>
              </w:rPr>
              <w:t>will be studied</w:t>
            </w:r>
            <w:proofErr w:type="gramEnd"/>
            <w:r w:rsidRPr="00422142">
              <w:rPr>
                <w:rFonts w:ascii="Times New Roman" w:eastAsia="MS Mincho" w:hAnsi="Times New Roman" w:cs="Times New Roman"/>
                <w:sz w:val="24"/>
                <w:szCs w:val="24"/>
                <w:lang w:val="en-US"/>
              </w:rPr>
              <w:t>.</w:t>
            </w:r>
          </w:p>
          <w:p w14:paraId="4DB7E56A" w14:textId="77777777" w:rsidR="009A0A97" w:rsidRPr="00422142" w:rsidRDefault="009A0A97" w:rsidP="002F323B">
            <w:pPr>
              <w:autoSpaceDE w:val="0"/>
              <w:autoSpaceDN w:val="0"/>
              <w:adjustRightInd w:val="0"/>
              <w:jc w:val="both"/>
              <w:rPr>
                <w:rFonts w:ascii="Times New Roman" w:eastAsia="MS Mincho" w:hAnsi="Times New Roman" w:cs="Times New Roman"/>
                <w:sz w:val="24"/>
                <w:szCs w:val="24"/>
                <w:lang w:val="en-US"/>
              </w:rPr>
            </w:pPr>
          </w:p>
          <w:p w14:paraId="13B50258" w14:textId="77777777" w:rsidR="004B15C4" w:rsidRPr="00422142" w:rsidRDefault="00843161" w:rsidP="002F323B">
            <w:pPr>
              <w:autoSpaceDE w:val="0"/>
              <w:autoSpaceDN w:val="0"/>
              <w:adjustRightInd w:val="0"/>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3</w:t>
            </w:r>
            <w:r w:rsidR="009A0A97" w:rsidRPr="00422142">
              <w:rPr>
                <w:rFonts w:ascii="Times New Roman" w:eastAsia="MS Mincho" w:hAnsi="Times New Roman" w:cs="Times New Roman"/>
                <w:b/>
                <w:bCs/>
                <w:sz w:val="24"/>
                <w:szCs w:val="24"/>
                <w:lang w:val="en-US"/>
              </w:rPr>
              <w:t>.</w:t>
            </w:r>
            <w:r w:rsidR="001E7C5B" w:rsidRPr="00422142">
              <w:rPr>
                <w:rFonts w:ascii="Times New Roman" w:eastAsia="MS Mincho" w:hAnsi="Times New Roman" w:cs="Times New Roman"/>
                <w:b/>
                <w:bCs/>
                <w:sz w:val="24"/>
                <w:szCs w:val="24"/>
                <w:lang w:val="en-US"/>
              </w:rPr>
              <w:t xml:space="preserve"> Fundamental rights in a multi-level legal system</w:t>
            </w:r>
            <w:r w:rsidR="00036E87" w:rsidRPr="00422142">
              <w:rPr>
                <w:rFonts w:ascii="Times New Roman" w:eastAsia="MS Mincho" w:hAnsi="Times New Roman" w:cs="Times New Roman"/>
                <w:b/>
                <w:bCs/>
                <w:sz w:val="24"/>
                <w:szCs w:val="24"/>
                <w:lang w:val="en-US"/>
              </w:rPr>
              <w:t xml:space="preserve"> </w:t>
            </w:r>
          </w:p>
          <w:p w14:paraId="4B531E46" w14:textId="22279B93" w:rsidR="00E85236" w:rsidRPr="00422142" w:rsidRDefault="00036E87" w:rsidP="002F323B">
            <w:pPr>
              <w:autoSpaceDE w:val="0"/>
              <w:autoSpaceDN w:val="0"/>
              <w:adjustRightInd w:val="0"/>
              <w:rPr>
                <w:rFonts w:ascii="Times New Roman" w:eastAsia="MS Mincho" w:hAnsi="Times New Roman" w:cs="Times New Roman"/>
                <w:sz w:val="24"/>
                <w:szCs w:val="24"/>
                <w:lang w:val="en-US"/>
              </w:rPr>
            </w:pPr>
            <w:r w:rsidRPr="00422142">
              <w:rPr>
                <w:rFonts w:ascii="Times New Roman" w:eastAsia="MS Mincho" w:hAnsi="Times New Roman" w:cs="Times New Roman"/>
                <w:b/>
                <w:bCs/>
                <w:color w:val="00B050"/>
                <w:sz w:val="24"/>
                <w:szCs w:val="24"/>
                <w:lang w:val="en-US"/>
              </w:rPr>
              <w:t>4 November 2022, INDEPENDENT LEARNING, NO PRESENCE REQUIRED</w:t>
            </w:r>
            <w:r w:rsidR="00E85236" w:rsidRPr="00422142">
              <w:rPr>
                <w:rFonts w:ascii="Times New Roman" w:eastAsia="MS Mincho" w:hAnsi="Times New Roman" w:cs="Times New Roman"/>
                <w:b/>
                <w:bCs/>
                <w:sz w:val="24"/>
                <w:szCs w:val="24"/>
                <w:lang w:val="en-US"/>
              </w:rPr>
              <w:br/>
            </w:r>
            <w:r w:rsidR="00E85236" w:rsidRPr="00422142">
              <w:rPr>
                <w:rFonts w:ascii="Times New Roman" w:eastAsia="MS Mincho" w:hAnsi="Times New Roman" w:cs="Times New Roman"/>
                <w:sz w:val="24"/>
                <w:szCs w:val="24"/>
                <w:lang w:val="en-US"/>
              </w:rPr>
              <w:t xml:space="preserve">Discussion of the initial case-by-case development of Community-wide fundamental rights protection will be followed by later instruments tackling discrimination and other aspects of fundamental rights. The Charter of Fundamental Rights </w:t>
            </w:r>
            <w:proofErr w:type="gramStart"/>
            <w:r w:rsidR="00E85236" w:rsidRPr="00422142">
              <w:rPr>
                <w:rFonts w:ascii="Times New Roman" w:eastAsia="MS Mincho" w:hAnsi="Times New Roman" w:cs="Times New Roman"/>
                <w:sz w:val="24"/>
                <w:szCs w:val="24"/>
                <w:lang w:val="en-US"/>
              </w:rPr>
              <w:t>will be discussed and compared to the European Convention on Human Rights</w:t>
            </w:r>
            <w:proofErr w:type="gramEnd"/>
            <w:r w:rsidR="00E85236" w:rsidRPr="00422142">
              <w:rPr>
                <w:rFonts w:ascii="Times New Roman" w:eastAsia="MS Mincho" w:hAnsi="Times New Roman" w:cs="Times New Roman"/>
                <w:sz w:val="24"/>
                <w:szCs w:val="24"/>
                <w:lang w:val="en-US"/>
              </w:rPr>
              <w:t>.</w:t>
            </w:r>
          </w:p>
          <w:p w14:paraId="6EE4B147" w14:textId="22E90121" w:rsidR="00843161" w:rsidRPr="00422142" w:rsidRDefault="00E85236" w:rsidP="00B91483">
            <w:pPr>
              <w:autoSpaceDE w:val="0"/>
              <w:autoSpaceDN w:val="0"/>
              <w:adjustRightInd w:val="0"/>
              <w:jc w:val="both"/>
              <w:rPr>
                <w:rFonts w:ascii="Times New Roman" w:eastAsia="MS Mincho" w:hAnsi="Times New Roman" w:cs="Times New Roman"/>
                <w:sz w:val="24"/>
                <w:szCs w:val="24"/>
                <w:lang w:val="en-US"/>
              </w:rPr>
            </w:pPr>
            <w:r w:rsidRPr="00422142">
              <w:rPr>
                <w:rFonts w:ascii="Times New Roman" w:eastAsia="MS Mincho" w:hAnsi="Times New Roman" w:cs="Times New Roman"/>
                <w:sz w:val="24"/>
                <w:szCs w:val="24"/>
                <w:lang w:val="en-US"/>
              </w:rPr>
              <w:t xml:space="preserve">The possible EU accession to the European Convention on Human Rights and its consequences </w:t>
            </w:r>
            <w:proofErr w:type="gramStart"/>
            <w:r w:rsidRPr="00422142">
              <w:rPr>
                <w:rFonts w:ascii="Times New Roman" w:eastAsia="MS Mincho" w:hAnsi="Times New Roman" w:cs="Times New Roman"/>
                <w:sz w:val="24"/>
                <w:szCs w:val="24"/>
                <w:lang w:val="en-US"/>
              </w:rPr>
              <w:t>will be addressed</w:t>
            </w:r>
            <w:proofErr w:type="gramEnd"/>
            <w:r w:rsidRPr="00422142">
              <w:rPr>
                <w:rFonts w:ascii="Times New Roman" w:eastAsia="MS Mincho" w:hAnsi="Times New Roman" w:cs="Times New Roman"/>
                <w:sz w:val="24"/>
                <w:szCs w:val="24"/>
                <w:lang w:val="en-US"/>
              </w:rPr>
              <w:t>.</w:t>
            </w:r>
          </w:p>
          <w:p w14:paraId="5FDD1EDC" w14:textId="77777777" w:rsidR="009A0A97" w:rsidRPr="00422142" w:rsidRDefault="009A0A97" w:rsidP="00B91483">
            <w:pPr>
              <w:autoSpaceDE w:val="0"/>
              <w:autoSpaceDN w:val="0"/>
              <w:adjustRightInd w:val="0"/>
              <w:jc w:val="both"/>
              <w:rPr>
                <w:rFonts w:ascii="Times New Roman" w:eastAsia="MS Mincho" w:hAnsi="Times New Roman" w:cs="Times New Roman"/>
                <w:sz w:val="24"/>
                <w:szCs w:val="24"/>
                <w:lang w:val="en-US"/>
              </w:rPr>
            </w:pPr>
          </w:p>
          <w:p w14:paraId="691EBB87" w14:textId="31351BDF" w:rsidR="002E295A" w:rsidRPr="00422142" w:rsidRDefault="00843161" w:rsidP="003A18B5">
            <w:pPr>
              <w:autoSpaceDE w:val="0"/>
              <w:autoSpaceDN w:val="0"/>
              <w:adjustRightInd w:val="0"/>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4</w:t>
            </w:r>
            <w:r w:rsidR="009A0A97" w:rsidRPr="00422142">
              <w:rPr>
                <w:rFonts w:ascii="Times New Roman" w:eastAsia="MS Mincho" w:hAnsi="Times New Roman" w:cs="Times New Roman"/>
                <w:b/>
                <w:bCs/>
                <w:sz w:val="24"/>
                <w:szCs w:val="24"/>
                <w:lang w:val="en-US"/>
              </w:rPr>
              <w:t>.</w:t>
            </w:r>
            <w:r w:rsidR="00514A92" w:rsidRPr="00422142">
              <w:rPr>
                <w:rFonts w:ascii="Times New Roman" w:hAnsi="Times New Roman" w:cs="Times New Roman"/>
                <w:b/>
                <w:bCs/>
                <w:sz w:val="24"/>
                <w:szCs w:val="24"/>
              </w:rPr>
              <w:t xml:space="preserve"> </w:t>
            </w:r>
            <w:r w:rsidR="00514A92" w:rsidRPr="00422142">
              <w:rPr>
                <w:rFonts w:ascii="Times New Roman" w:eastAsia="MS Mincho" w:hAnsi="Times New Roman" w:cs="Times New Roman"/>
                <w:b/>
                <w:bCs/>
                <w:sz w:val="24"/>
                <w:szCs w:val="24"/>
                <w:lang w:val="en-US"/>
              </w:rPr>
              <w:t>History and principles of the AFSJ, The road to a European Union criminal law</w:t>
            </w:r>
            <w:r w:rsidR="002E295A" w:rsidRPr="00422142">
              <w:rPr>
                <w:rFonts w:ascii="Times New Roman" w:eastAsia="MS Mincho" w:hAnsi="Times New Roman" w:cs="Times New Roman"/>
                <w:b/>
                <w:bCs/>
                <w:sz w:val="24"/>
                <w:szCs w:val="24"/>
                <w:lang w:val="en-US"/>
              </w:rPr>
              <w:br/>
              <w:t>Mutual trust and mutual recognition</w:t>
            </w:r>
          </w:p>
          <w:p w14:paraId="13C7F7F3" w14:textId="77777777" w:rsidR="004B15C4" w:rsidRPr="00422142" w:rsidRDefault="002E295A" w:rsidP="002E295A">
            <w:pPr>
              <w:autoSpaceDE w:val="0"/>
              <w:autoSpaceDN w:val="0"/>
              <w:adjustRightInd w:val="0"/>
              <w:rPr>
                <w:rFonts w:ascii="Times New Roman" w:eastAsia="MS Mincho" w:hAnsi="Times New Roman" w:cs="Times New Roman"/>
                <w:b/>
                <w:bCs/>
                <w:sz w:val="24"/>
                <w:szCs w:val="24"/>
                <w:lang w:val="en-US"/>
              </w:rPr>
            </w:pPr>
            <w:r w:rsidRPr="00422142">
              <w:rPr>
                <w:rFonts w:ascii="Times New Roman" w:eastAsia="MS Mincho" w:hAnsi="Times New Roman" w:cs="Times New Roman"/>
                <w:b/>
                <w:bCs/>
                <w:sz w:val="24"/>
                <w:szCs w:val="24"/>
                <w:lang w:val="en-US"/>
              </w:rPr>
              <w:t>Mutual trust, human rights and the rule of law</w:t>
            </w:r>
            <w:r w:rsidR="00036E87" w:rsidRPr="00422142">
              <w:rPr>
                <w:rFonts w:ascii="Times New Roman" w:eastAsia="MS Mincho" w:hAnsi="Times New Roman" w:cs="Times New Roman"/>
                <w:b/>
                <w:bCs/>
                <w:sz w:val="24"/>
                <w:szCs w:val="24"/>
                <w:lang w:val="en-US"/>
              </w:rPr>
              <w:t xml:space="preserve"> </w:t>
            </w:r>
          </w:p>
          <w:p w14:paraId="0B8B7BB1" w14:textId="13F0BE4E" w:rsidR="00843161" w:rsidRPr="00422142" w:rsidRDefault="004B15C4" w:rsidP="002E295A">
            <w:pPr>
              <w:autoSpaceDE w:val="0"/>
              <w:autoSpaceDN w:val="0"/>
              <w:adjustRightInd w:val="0"/>
              <w:rPr>
                <w:rFonts w:ascii="Times New Roman" w:eastAsia="MS Mincho" w:hAnsi="Times New Roman" w:cs="Times New Roman"/>
                <w:sz w:val="24"/>
                <w:szCs w:val="24"/>
                <w:lang w:val="en-US"/>
              </w:rPr>
            </w:pPr>
            <w:r w:rsidRPr="00422142">
              <w:rPr>
                <w:rFonts w:ascii="Times New Roman" w:eastAsia="MS Mincho" w:hAnsi="Times New Roman" w:cs="Times New Roman"/>
                <w:b/>
                <w:bCs/>
                <w:color w:val="00B050"/>
                <w:sz w:val="24"/>
                <w:szCs w:val="24"/>
                <w:lang w:val="en-US"/>
              </w:rPr>
              <w:t>18</w:t>
            </w:r>
            <w:r w:rsidR="00036E87" w:rsidRPr="00422142">
              <w:rPr>
                <w:rFonts w:ascii="Times New Roman" w:eastAsia="MS Mincho" w:hAnsi="Times New Roman" w:cs="Times New Roman"/>
                <w:b/>
                <w:bCs/>
                <w:color w:val="00B050"/>
                <w:sz w:val="24"/>
                <w:szCs w:val="24"/>
                <w:lang w:val="en-US"/>
              </w:rPr>
              <w:t xml:space="preserve"> November 2022</w:t>
            </w:r>
            <w:r w:rsidR="002F323B" w:rsidRPr="00422142">
              <w:rPr>
                <w:rFonts w:ascii="Times New Roman" w:eastAsia="MS Mincho" w:hAnsi="Times New Roman" w:cs="Times New Roman"/>
                <w:b/>
                <w:bCs/>
                <w:sz w:val="24"/>
                <w:szCs w:val="24"/>
                <w:lang w:val="en-US"/>
              </w:rPr>
              <w:br/>
            </w:r>
            <w:r w:rsidR="002F323B" w:rsidRPr="00422142">
              <w:rPr>
                <w:rFonts w:ascii="Times New Roman" w:eastAsia="MS Mincho" w:hAnsi="Times New Roman" w:cs="Times New Roman"/>
                <w:sz w:val="24"/>
                <w:szCs w:val="24"/>
                <w:lang w:val="en-US"/>
              </w:rPr>
              <w:t xml:space="preserve">The origins of the idea of a European Union criminal justice system </w:t>
            </w:r>
            <w:proofErr w:type="gramStart"/>
            <w:r w:rsidR="002F323B" w:rsidRPr="00422142">
              <w:rPr>
                <w:rFonts w:ascii="Times New Roman" w:eastAsia="MS Mincho" w:hAnsi="Times New Roman" w:cs="Times New Roman"/>
                <w:sz w:val="24"/>
                <w:szCs w:val="24"/>
                <w:lang w:val="en-US"/>
              </w:rPr>
              <w:t>will be addressed</w:t>
            </w:r>
            <w:proofErr w:type="gramEnd"/>
            <w:r w:rsidR="002F323B" w:rsidRPr="00422142">
              <w:rPr>
                <w:rFonts w:ascii="Times New Roman" w:eastAsia="MS Mincho" w:hAnsi="Times New Roman" w:cs="Times New Roman"/>
                <w:sz w:val="24"/>
                <w:szCs w:val="24"/>
                <w:lang w:val="en-US"/>
              </w:rPr>
              <w:t xml:space="preserve">, including also promising, but ultimately failed attempts, such as the Corpus Juris project. The relevance of the </w:t>
            </w:r>
            <w:r w:rsidR="00F549E7" w:rsidRPr="00422142">
              <w:rPr>
                <w:rFonts w:ascii="Times New Roman" w:eastAsia="MS Mincho" w:hAnsi="Times New Roman" w:cs="Times New Roman"/>
                <w:sz w:val="24"/>
                <w:szCs w:val="24"/>
                <w:lang w:val="en-US"/>
              </w:rPr>
              <w:t>three-pillar</w:t>
            </w:r>
            <w:r w:rsidR="002F323B" w:rsidRPr="00422142">
              <w:rPr>
                <w:rFonts w:ascii="Times New Roman" w:eastAsia="MS Mincho" w:hAnsi="Times New Roman" w:cs="Times New Roman"/>
                <w:sz w:val="24"/>
                <w:szCs w:val="24"/>
                <w:lang w:val="en-US"/>
              </w:rPr>
              <w:t xml:space="preserve"> system created by the Maastricht Treaty; the Area of Freedom, Security and </w:t>
            </w:r>
            <w:r w:rsidR="002F323B" w:rsidRPr="00422142">
              <w:rPr>
                <w:rFonts w:ascii="Times New Roman" w:eastAsia="MS Mincho" w:hAnsi="Times New Roman" w:cs="Times New Roman"/>
                <w:sz w:val="24"/>
                <w:szCs w:val="24"/>
                <w:lang w:val="en-US"/>
              </w:rPr>
              <w:lastRenderedPageBreak/>
              <w:t>Justice created by the Amsterdam Treaty; the multi-annual Tampere, Hague and Stockholm programs and the relevant provisions of the Lisbon Treaty will be discussed.</w:t>
            </w:r>
          </w:p>
          <w:p w14:paraId="00147FD8" w14:textId="44A2A221" w:rsidR="002F323B" w:rsidRPr="00422142" w:rsidRDefault="002E295A" w:rsidP="002E295A">
            <w:pPr>
              <w:autoSpaceDE w:val="0"/>
              <w:autoSpaceDN w:val="0"/>
              <w:adjustRightInd w:val="0"/>
              <w:rPr>
                <w:rFonts w:ascii="Times New Roman" w:eastAsia="MS Mincho" w:hAnsi="Times New Roman" w:cs="Times New Roman"/>
                <w:sz w:val="24"/>
                <w:szCs w:val="24"/>
                <w:lang w:val="en-US"/>
              </w:rPr>
            </w:pPr>
            <w:r w:rsidRPr="00422142">
              <w:rPr>
                <w:rFonts w:ascii="Times New Roman" w:eastAsia="MS Mincho" w:hAnsi="Times New Roman" w:cs="Times New Roman"/>
                <w:sz w:val="24"/>
                <w:szCs w:val="24"/>
                <w:lang w:val="en-US"/>
              </w:rPr>
              <w:t xml:space="preserve">The concept of mutual trust and the principle of mutual recognition </w:t>
            </w:r>
            <w:proofErr w:type="gramStart"/>
            <w:r w:rsidRPr="00422142">
              <w:rPr>
                <w:rFonts w:ascii="Times New Roman" w:eastAsia="MS Mincho" w:hAnsi="Times New Roman" w:cs="Times New Roman"/>
                <w:sz w:val="24"/>
                <w:szCs w:val="24"/>
                <w:lang w:val="en-US"/>
              </w:rPr>
              <w:t>will be introduced</w:t>
            </w:r>
            <w:proofErr w:type="gramEnd"/>
            <w:r w:rsidRPr="00422142">
              <w:rPr>
                <w:rFonts w:ascii="Times New Roman" w:eastAsia="MS Mincho" w:hAnsi="Times New Roman" w:cs="Times New Roman"/>
                <w:sz w:val="24"/>
                <w:szCs w:val="24"/>
                <w:lang w:val="en-US"/>
              </w:rPr>
              <w:t xml:space="preserve">. </w:t>
            </w:r>
            <w:r w:rsidR="002F323B" w:rsidRPr="00422142">
              <w:rPr>
                <w:rFonts w:ascii="Times New Roman" w:eastAsia="MS Mincho" w:hAnsi="Times New Roman" w:cs="Times New Roman"/>
                <w:sz w:val="24"/>
                <w:szCs w:val="24"/>
                <w:lang w:val="en-US"/>
              </w:rPr>
              <w:t xml:space="preserve">Existing legal instruments </w:t>
            </w:r>
            <w:proofErr w:type="gramStart"/>
            <w:r w:rsidR="002F323B" w:rsidRPr="00422142">
              <w:rPr>
                <w:rFonts w:ascii="Times New Roman" w:eastAsia="MS Mincho" w:hAnsi="Times New Roman" w:cs="Times New Roman"/>
                <w:sz w:val="24"/>
                <w:szCs w:val="24"/>
                <w:lang w:val="en-US"/>
              </w:rPr>
              <w:t>will be discussed</w:t>
            </w:r>
            <w:proofErr w:type="gramEnd"/>
            <w:r w:rsidR="002F323B" w:rsidRPr="00422142">
              <w:rPr>
                <w:rFonts w:ascii="Times New Roman" w:eastAsia="MS Mincho" w:hAnsi="Times New Roman" w:cs="Times New Roman"/>
                <w:sz w:val="24"/>
                <w:szCs w:val="24"/>
                <w:lang w:val="en-US"/>
              </w:rPr>
              <w:t xml:space="preserve"> as examples illustrating the operation of the principle of mutual recognition in practice. The European Arrest Warrant </w:t>
            </w:r>
            <w:proofErr w:type="gramStart"/>
            <w:r w:rsidR="002F323B" w:rsidRPr="00422142">
              <w:rPr>
                <w:rFonts w:ascii="Times New Roman" w:eastAsia="MS Mincho" w:hAnsi="Times New Roman" w:cs="Times New Roman"/>
                <w:sz w:val="24"/>
                <w:szCs w:val="24"/>
                <w:lang w:val="en-US"/>
              </w:rPr>
              <w:t>will be singled out</w:t>
            </w:r>
            <w:proofErr w:type="gramEnd"/>
            <w:r w:rsidR="002F323B" w:rsidRPr="00422142">
              <w:rPr>
                <w:rFonts w:ascii="Times New Roman" w:eastAsia="MS Mincho" w:hAnsi="Times New Roman" w:cs="Times New Roman"/>
                <w:sz w:val="24"/>
                <w:szCs w:val="24"/>
                <w:lang w:val="en-US"/>
              </w:rPr>
              <w:t xml:space="preserve"> from among these instruments in order to highlight the success and difficulties of mutual </w:t>
            </w:r>
            <w:r w:rsidR="003172C1" w:rsidRPr="00422142">
              <w:rPr>
                <w:rFonts w:ascii="Times New Roman" w:eastAsia="MS Mincho" w:hAnsi="Times New Roman" w:cs="Times New Roman"/>
                <w:sz w:val="24"/>
                <w:szCs w:val="24"/>
                <w:lang w:val="en-US"/>
              </w:rPr>
              <w:t>recognition-based</w:t>
            </w:r>
            <w:r w:rsidR="002F323B" w:rsidRPr="00422142">
              <w:rPr>
                <w:rFonts w:ascii="Times New Roman" w:eastAsia="MS Mincho" w:hAnsi="Times New Roman" w:cs="Times New Roman"/>
                <w:sz w:val="24"/>
                <w:szCs w:val="24"/>
                <w:lang w:val="en-US"/>
              </w:rPr>
              <w:t xml:space="preserve"> EU laws.</w:t>
            </w:r>
          </w:p>
          <w:p w14:paraId="393D2282" w14:textId="2D793911" w:rsidR="00843161" w:rsidRPr="00422142" w:rsidRDefault="002F323B" w:rsidP="00070280">
            <w:pPr>
              <w:autoSpaceDE w:val="0"/>
              <w:autoSpaceDN w:val="0"/>
              <w:adjustRightInd w:val="0"/>
              <w:rPr>
                <w:rFonts w:ascii="Times New Roman" w:eastAsia="MS Mincho" w:hAnsi="Times New Roman" w:cs="Times New Roman"/>
                <w:b/>
                <w:bCs/>
                <w:sz w:val="24"/>
                <w:szCs w:val="24"/>
                <w:lang w:val="en-US"/>
              </w:rPr>
            </w:pPr>
            <w:r w:rsidRPr="00422142">
              <w:rPr>
                <w:rFonts w:ascii="Times New Roman" w:eastAsia="MS Mincho" w:hAnsi="Times New Roman" w:cs="Times New Roman"/>
                <w:sz w:val="24"/>
                <w:szCs w:val="24"/>
                <w:lang w:val="en-US"/>
              </w:rPr>
              <w:t xml:space="preserve">The principle of mutual recognition in EU criminal justice presupposes mutual trust, suggesting that all member states share with the EU the same foundational values, including the rule of law, respect for human rights and that judicial decisions are the outcome of fair and independent processes. The class addresses how mutual trust </w:t>
            </w:r>
            <w:proofErr w:type="gramStart"/>
            <w:r w:rsidRPr="00422142">
              <w:rPr>
                <w:rFonts w:ascii="Times New Roman" w:eastAsia="MS Mincho" w:hAnsi="Times New Roman" w:cs="Times New Roman"/>
                <w:sz w:val="24"/>
                <w:szCs w:val="24"/>
                <w:lang w:val="en-US"/>
              </w:rPr>
              <w:t>can be rebutted</w:t>
            </w:r>
            <w:proofErr w:type="gramEnd"/>
            <w:r w:rsidRPr="00422142">
              <w:rPr>
                <w:rFonts w:ascii="Times New Roman" w:eastAsia="MS Mincho" w:hAnsi="Times New Roman" w:cs="Times New Roman"/>
                <w:sz w:val="24"/>
                <w:szCs w:val="24"/>
                <w:lang w:val="en-US"/>
              </w:rPr>
              <w:t xml:space="preserve"> and what consequences rebuttal has. Conclusions </w:t>
            </w:r>
            <w:proofErr w:type="gramStart"/>
            <w:r w:rsidRPr="00422142">
              <w:rPr>
                <w:rFonts w:ascii="Times New Roman" w:eastAsia="MS Mincho" w:hAnsi="Times New Roman" w:cs="Times New Roman"/>
                <w:sz w:val="24"/>
                <w:szCs w:val="24"/>
                <w:lang w:val="en-US"/>
              </w:rPr>
              <w:t>are derived</w:t>
            </w:r>
            <w:proofErr w:type="gramEnd"/>
            <w:r w:rsidRPr="00422142">
              <w:rPr>
                <w:rFonts w:ascii="Times New Roman" w:eastAsia="MS Mincho" w:hAnsi="Times New Roman" w:cs="Times New Roman"/>
                <w:sz w:val="24"/>
                <w:szCs w:val="24"/>
                <w:lang w:val="en-US"/>
              </w:rPr>
              <w:t xml:space="preserve"> with special regard to CJEU jurisprudence.</w:t>
            </w:r>
          </w:p>
        </w:tc>
      </w:tr>
      <w:tr w:rsidR="0013685C" w:rsidRPr="00422142" w14:paraId="001653A9" w14:textId="7961B462" w:rsidTr="004B15C4">
        <w:trPr>
          <w:trHeight w:val="2211"/>
        </w:trPr>
        <w:tc>
          <w:tcPr>
            <w:tcW w:w="2573" w:type="dxa"/>
          </w:tcPr>
          <w:p w14:paraId="37FD00D9" w14:textId="77777777" w:rsidR="0013685C" w:rsidRPr="00422142" w:rsidRDefault="0013685C" w:rsidP="00B91483">
            <w:pPr>
              <w:autoSpaceDE w:val="0"/>
              <w:autoSpaceDN w:val="0"/>
              <w:adjustRightInd w:val="0"/>
              <w:jc w:val="both"/>
              <w:rPr>
                <w:rFonts w:ascii="Times New Roman" w:eastAsia="MS Mincho" w:hAnsi="Times New Roman" w:cs="Times New Roman"/>
                <w:b/>
                <w:bCs/>
                <w:sz w:val="24"/>
                <w:szCs w:val="24"/>
              </w:rPr>
            </w:pPr>
            <w:proofErr w:type="spellStart"/>
            <w:r w:rsidRPr="00422142">
              <w:rPr>
                <w:rFonts w:ascii="Times New Roman" w:eastAsia="MS Mincho" w:hAnsi="Times New Roman" w:cs="Times New Roman"/>
                <w:b/>
                <w:bCs/>
                <w:sz w:val="24"/>
                <w:szCs w:val="24"/>
              </w:rPr>
              <w:lastRenderedPageBreak/>
              <w:t>Materials</w:t>
            </w:r>
            <w:proofErr w:type="spellEnd"/>
            <w:r w:rsidRPr="00422142">
              <w:rPr>
                <w:rFonts w:ascii="Times New Roman" w:eastAsia="MS Mincho" w:hAnsi="Times New Roman" w:cs="Times New Roman"/>
                <w:b/>
                <w:bCs/>
                <w:sz w:val="24"/>
                <w:szCs w:val="24"/>
              </w:rPr>
              <w:t>/</w:t>
            </w:r>
            <w:proofErr w:type="spellStart"/>
            <w:r w:rsidRPr="00422142">
              <w:rPr>
                <w:rFonts w:ascii="Times New Roman" w:eastAsia="MS Mincho" w:hAnsi="Times New Roman" w:cs="Times New Roman"/>
                <w:b/>
                <w:bCs/>
                <w:sz w:val="24"/>
                <w:szCs w:val="24"/>
              </w:rPr>
              <w:t>Recommended</w:t>
            </w:r>
            <w:proofErr w:type="spellEnd"/>
            <w:r w:rsidRPr="00422142">
              <w:rPr>
                <w:rFonts w:ascii="Times New Roman" w:eastAsia="MS Mincho" w:hAnsi="Times New Roman" w:cs="Times New Roman"/>
                <w:b/>
                <w:bCs/>
                <w:sz w:val="24"/>
                <w:szCs w:val="24"/>
              </w:rPr>
              <w:t xml:space="preserve"> </w:t>
            </w:r>
            <w:proofErr w:type="spellStart"/>
            <w:r w:rsidRPr="00422142">
              <w:rPr>
                <w:rFonts w:ascii="Times New Roman" w:eastAsia="MS Mincho" w:hAnsi="Times New Roman" w:cs="Times New Roman"/>
                <w:b/>
                <w:bCs/>
                <w:sz w:val="24"/>
                <w:szCs w:val="24"/>
              </w:rPr>
              <w:t>readings</w:t>
            </w:r>
            <w:proofErr w:type="spellEnd"/>
          </w:p>
        </w:tc>
        <w:tc>
          <w:tcPr>
            <w:tcW w:w="6489" w:type="dxa"/>
          </w:tcPr>
          <w:p w14:paraId="032F3021" w14:textId="27B2ECCC" w:rsidR="00BB4823" w:rsidRPr="00422142" w:rsidRDefault="00514A92" w:rsidP="00BB4823">
            <w:pPr>
              <w:rPr>
                <w:rFonts w:ascii="Times New Roman" w:hAnsi="Times New Roman" w:cs="Times New Roman"/>
                <w:i/>
                <w:sz w:val="24"/>
                <w:szCs w:val="24"/>
                <w:lang w:val="en-GB"/>
              </w:rPr>
            </w:pPr>
            <w:proofErr w:type="spellStart"/>
            <w:r w:rsidRPr="00422142">
              <w:rPr>
                <w:rFonts w:ascii="Times New Roman" w:eastAsia="MS Mincho" w:hAnsi="Times New Roman" w:cs="Times New Roman"/>
                <w:b/>
                <w:bCs/>
                <w:sz w:val="24"/>
                <w:szCs w:val="24"/>
              </w:rPr>
              <w:t>Class</w:t>
            </w:r>
            <w:proofErr w:type="spellEnd"/>
            <w:r w:rsidRPr="00422142">
              <w:rPr>
                <w:rFonts w:ascii="Times New Roman" w:eastAsia="MS Mincho" w:hAnsi="Times New Roman" w:cs="Times New Roman"/>
                <w:b/>
                <w:bCs/>
                <w:sz w:val="24"/>
                <w:szCs w:val="24"/>
              </w:rPr>
              <w:t xml:space="preserve"> </w:t>
            </w:r>
            <w:r w:rsidR="00BB4823" w:rsidRPr="00422142">
              <w:rPr>
                <w:rFonts w:ascii="Times New Roman" w:eastAsia="MS Mincho" w:hAnsi="Times New Roman" w:cs="Times New Roman"/>
                <w:b/>
                <w:bCs/>
                <w:sz w:val="24"/>
                <w:szCs w:val="24"/>
              </w:rPr>
              <w:t>1</w:t>
            </w:r>
            <w:r w:rsidR="00BB4823" w:rsidRPr="00422142">
              <w:rPr>
                <w:rFonts w:ascii="Times New Roman" w:hAnsi="Times New Roman" w:cs="Times New Roman"/>
                <w:i/>
                <w:sz w:val="24"/>
                <w:szCs w:val="24"/>
                <w:lang w:val="en-GB"/>
              </w:rPr>
              <w:t xml:space="preserve"> </w:t>
            </w:r>
            <w:r w:rsidR="00E85236" w:rsidRPr="00422142">
              <w:rPr>
                <w:rFonts w:ascii="Times New Roman" w:hAnsi="Times New Roman" w:cs="Times New Roman"/>
                <w:i/>
                <w:sz w:val="24"/>
                <w:szCs w:val="24"/>
                <w:lang w:val="en-GB"/>
              </w:rPr>
              <w:br/>
            </w:r>
            <w:r w:rsidR="00BB4823" w:rsidRPr="00422142">
              <w:rPr>
                <w:rFonts w:ascii="Times New Roman" w:hAnsi="Times New Roman" w:cs="Times New Roman"/>
                <w:i/>
                <w:sz w:val="24"/>
                <w:szCs w:val="24"/>
                <w:lang w:val="en-GB"/>
              </w:rPr>
              <w:t>Readings:</w:t>
            </w:r>
          </w:p>
          <w:p w14:paraId="4456268C" w14:textId="77777777" w:rsidR="00BB4823" w:rsidRPr="00422142" w:rsidRDefault="00BB4823" w:rsidP="00BB4823">
            <w:pPr>
              <w:numPr>
                <w:ilvl w:val="0"/>
                <w:numId w:val="10"/>
              </w:numPr>
              <w:rPr>
                <w:rFonts w:ascii="Times New Roman" w:hAnsi="Times New Roman" w:cs="Times New Roman"/>
                <w:sz w:val="24"/>
                <w:szCs w:val="24"/>
                <w:lang w:val="en-GB"/>
              </w:rPr>
            </w:pPr>
            <w:proofErr w:type="spellStart"/>
            <w:r w:rsidRPr="00422142">
              <w:rPr>
                <w:rFonts w:ascii="Times New Roman" w:hAnsi="Times New Roman" w:cs="Times New Roman"/>
                <w:sz w:val="24"/>
                <w:szCs w:val="24"/>
                <w:lang w:val="en-GB"/>
              </w:rPr>
              <w:t>Weiler</w:t>
            </w:r>
            <w:proofErr w:type="spellEnd"/>
            <w:r w:rsidRPr="00422142">
              <w:rPr>
                <w:rFonts w:ascii="Times New Roman" w:hAnsi="Times New Roman" w:cs="Times New Roman"/>
                <w:sz w:val="24"/>
                <w:szCs w:val="24"/>
                <w:lang w:val="en-GB"/>
              </w:rPr>
              <w:t>, The political and legal culture of European integration, ICON, 2011</w:t>
            </w:r>
          </w:p>
          <w:p w14:paraId="3811AA6B" w14:textId="77777777" w:rsidR="00BB4823" w:rsidRPr="00422142" w:rsidRDefault="00BB4823" w:rsidP="00BB4823">
            <w:pPr>
              <w:numPr>
                <w:ilvl w:val="0"/>
                <w:numId w:val="10"/>
              </w:numPr>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The development of European integration, in: Craig and de </w:t>
            </w:r>
            <w:proofErr w:type="spellStart"/>
            <w:r w:rsidRPr="00422142">
              <w:rPr>
                <w:rFonts w:ascii="Times New Roman" w:hAnsi="Times New Roman" w:cs="Times New Roman"/>
                <w:sz w:val="24"/>
                <w:szCs w:val="24"/>
                <w:lang w:val="en-GB"/>
              </w:rPr>
              <w:t>Búrca</w:t>
            </w:r>
            <w:proofErr w:type="spellEnd"/>
            <w:r w:rsidRPr="00422142">
              <w:rPr>
                <w:rFonts w:ascii="Times New Roman" w:hAnsi="Times New Roman" w:cs="Times New Roman"/>
                <w:sz w:val="24"/>
                <w:szCs w:val="24"/>
                <w:lang w:val="en-GB"/>
              </w:rPr>
              <w:t>, EU Law, 2008 [recommended]</w:t>
            </w:r>
          </w:p>
          <w:p w14:paraId="18C3A862" w14:textId="77777777" w:rsidR="00BB4823" w:rsidRPr="00422142" w:rsidRDefault="00BB4823" w:rsidP="00BB4823">
            <w:pPr>
              <w:numPr>
                <w:ilvl w:val="0"/>
                <w:numId w:val="10"/>
              </w:numPr>
              <w:rPr>
                <w:rFonts w:ascii="Times New Roman" w:hAnsi="Times New Roman" w:cs="Times New Roman"/>
                <w:sz w:val="24"/>
                <w:szCs w:val="24"/>
                <w:lang w:val="en-GB"/>
              </w:rPr>
            </w:pPr>
            <w:proofErr w:type="spellStart"/>
            <w:r w:rsidRPr="00422142">
              <w:rPr>
                <w:rFonts w:ascii="Times New Roman" w:hAnsi="Times New Roman" w:cs="Times New Roman"/>
                <w:sz w:val="24"/>
                <w:szCs w:val="24"/>
                <w:lang w:val="en-GB"/>
              </w:rPr>
              <w:t>Piris</w:t>
            </w:r>
            <w:proofErr w:type="spellEnd"/>
            <w:r w:rsidRPr="00422142">
              <w:rPr>
                <w:rFonts w:ascii="Times New Roman" w:hAnsi="Times New Roman" w:cs="Times New Roman"/>
                <w:sz w:val="24"/>
                <w:szCs w:val="24"/>
                <w:lang w:val="en-GB"/>
              </w:rPr>
              <w:t xml:space="preserve">, The difficult ratification of the Lisbon Treaty, in: </w:t>
            </w:r>
            <w:proofErr w:type="spellStart"/>
            <w:r w:rsidRPr="00422142">
              <w:rPr>
                <w:rFonts w:ascii="Times New Roman" w:hAnsi="Times New Roman" w:cs="Times New Roman"/>
                <w:sz w:val="24"/>
                <w:szCs w:val="24"/>
                <w:lang w:val="en-GB"/>
              </w:rPr>
              <w:t>Piris</w:t>
            </w:r>
            <w:proofErr w:type="spellEnd"/>
            <w:r w:rsidRPr="00422142">
              <w:rPr>
                <w:rFonts w:ascii="Times New Roman" w:hAnsi="Times New Roman" w:cs="Times New Roman"/>
                <w:sz w:val="24"/>
                <w:szCs w:val="24"/>
                <w:lang w:val="en-GB"/>
              </w:rPr>
              <w:t>, The Lisbon Treaty, 2010 [recommended]</w:t>
            </w:r>
          </w:p>
          <w:p w14:paraId="251F8574" w14:textId="77777777" w:rsidR="00BB4823" w:rsidRPr="00422142" w:rsidRDefault="00BB4823" w:rsidP="00BB4823">
            <w:pPr>
              <w:numPr>
                <w:ilvl w:val="0"/>
                <w:numId w:val="10"/>
              </w:numPr>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de Witte, Direct effect, primacy and the nature of the legal order, in: Craig and de </w:t>
            </w:r>
            <w:proofErr w:type="spellStart"/>
            <w:r w:rsidRPr="00422142">
              <w:rPr>
                <w:rFonts w:ascii="Times New Roman" w:hAnsi="Times New Roman" w:cs="Times New Roman"/>
                <w:sz w:val="24"/>
                <w:szCs w:val="24"/>
                <w:lang w:val="en-GB"/>
              </w:rPr>
              <w:t>Burca</w:t>
            </w:r>
            <w:proofErr w:type="spellEnd"/>
            <w:r w:rsidRPr="00422142">
              <w:rPr>
                <w:rFonts w:ascii="Times New Roman" w:hAnsi="Times New Roman" w:cs="Times New Roman"/>
                <w:sz w:val="24"/>
                <w:szCs w:val="24"/>
                <w:lang w:val="en-GB"/>
              </w:rPr>
              <w:t>, 2011 [recommended]</w:t>
            </w:r>
          </w:p>
          <w:p w14:paraId="454F826A" w14:textId="3305B2A5" w:rsidR="00BB4823" w:rsidRPr="00422142" w:rsidRDefault="00BB4823" w:rsidP="00BB4823">
            <w:pPr>
              <w:numPr>
                <w:ilvl w:val="0"/>
                <w:numId w:val="10"/>
              </w:numPr>
              <w:rPr>
                <w:rFonts w:ascii="Times New Roman" w:hAnsi="Times New Roman" w:cs="Times New Roman"/>
                <w:b/>
                <w:smallCaps/>
                <w:sz w:val="24"/>
                <w:szCs w:val="24"/>
                <w:lang w:val="en-GB"/>
              </w:rPr>
            </w:pPr>
            <w:r w:rsidRPr="00422142">
              <w:rPr>
                <w:rFonts w:ascii="Times New Roman" w:eastAsia="SimSun" w:hAnsi="Times New Roman" w:cs="Times New Roman"/>
                <w:sz w:val="24"/>
                <w:szCs w:val="24"/>
                <w:lang w:val="en-GB"/>
              </w:rPr>
              <w:t xml:space="preserve">Jacobs, The Lisbon Treaty and the Court of Justice, in: Biondi et al., EU law after Lisbon, 2012 </w:t>
            </w:r>
            <w:r w:rsidRPr="00422142">
              <w:rPr>
                <w:rFonts w:ascii="Times New Roman" w:hAnsi="Times New Roman" w:cs="Times New Roman"/>
                <w:sz w:val="24"/>
                <w:szCs w:val="24"/>
                <w:lang w:val="en-GB"/>
              </w:rPr>
              <w:t>[recommended]</w:t>
            </w:r>
          </w:p>
          <w:p w14:paraId="7CA32F9E" w14:textId="77777777" w:rsidR="002E295A" w:rsidRPr="00422142" w:rsidRDefault="002E295A" w:rsidP="002E295A">
            <w:pPr>
              <w:ind w:left="1068"/>
              <w:rPr>
                <w:rFonts w:ascii="Times New Roman" w:hAnsi="Times New Roman" w:cs="Times New Roman"/>
                <w:b/>
                <w:smallCaps/>
                <w:sz w:val="24"/>
                <w:szCs w:val="24"/>
                <w:lang w:val="en-GB"/>
              </w:rPr>
            </w:pPr>
          </w:p>
          <w:p w14:paraId="12A1C83F" w14:textId="4BFA36C5" w:rsidR="00BB4823" w:rsidRPr="00422142" w:rsidRDefault="000707F6" w:rsidP="00BB4823">
            <w:pPr>
              <w:rPr>
                <w:rFonts w:ascii="Times New Roman" w:hAnsi="Times New Roman" w:cs="Times New Roman"/>
                <w:bCs/>
                <w:sz w:val="24"/>
                <w:szCs w:val="24"/>
                <w:lang w:val="en-GB"/>
              </w:rPr>
            </w:pPr>
            <w:r w:rsidRPr="00422142">
              <w:rPr>
                <w:rFonts w:ascii="Times New Roman" w:hAnsi="Times New Roman" w:cs="Times New Roman"/>
                <w:bCs/>
                <w:i/>
                <w:sz w:val="24"/>
                <w:szCs w:val="24"/>
                <w:lang w:val="en-GB"/>
              </w:rPr>
              <w:t>Assignment</w:t>
            </w:r>
            <w:r w:rsidRPr="00422142">
              <w:rPr>
                <w:rFonts w:ascii="Times New Roman" w:hAnsi="Times New Roman" w:cs="Times New Roman"/>
                <w:bCs/>
                <w:sz w:val="24"/>
                <w:szCs w:val="24"/>
                <w:lang w:val="en-GB"/>
              </w:rPr>
              <w:t xml:space="preserve">: </w:t>
            </w:r>
            <w:r w:rsidR="00BB4823" w:rsidRPr="00422142">
              <w:rPr>
                <w:rFonts w:ascii="Times New Roman" w:hAnsi="Times New Roman" w:cs="Times New Roman"/>
                <w:bCs/>
                <w:sz w:val="24"/>
                <w:szCs w:val="24"/>
                <w:lang w:val="en-GB"/>
              </w:rPr>
              <w:t>Please visit the website of the European Parliament for the ordinary legislative procedure and read it in conjunction with Article 294 TFEU.</w:t>
            </w:r>
          </w:p>
          <w:p w14:paraId="2BF51177" w14:textId="77777777" w:rsidR="002E295A" w:rsidRPr="00422142" w:rsidRDefault="00422142" w:rsidP="001E7C5B">
            <w:pPr>
              <w:rPr>
                <w:rStyle w:val="Hiperhivatkozs"/>
                <w:rFonts w:ascii="Times New Roman" w:hAnsi="Times New Roman" w:cs="Times New Roman"/>
                <w:bCs/>
                <w:sz w:val="24"/>
                <w:szCs w:val="24"/>
                <w:lang w:val="en-GB"/>
              </w:rPr>
            </w:pPr>
            <w:hyperlink r:id="rId9" w:history="1">
              <w:r w:rsidR="00BB4823" w:rsidRPr="00422142">
                <w:rPr>
                  <w:rStyle w:val="Hiperhivatkozs"/>
                  <w:rFonts w:ascii="Times New Roman" w:hAnsi="Times New Roman" w:cs="Times New Roman"/>
                  <w:bCs/>
                  <w:sz w:val="24"/>
                  <w:szCs w:val="24"/>
                  <w:lang w:val="en-GB"/>
                </w:rPr>
                <w:t>http://www.europarl.europa.eu/aboutparliament/en/0081f4b3c7/Law-making-procedures-in-detail.html</w:t>
              </w:r>
            </w:hyperlink>
          </w:p>
          <w:p w14:paraId="768BBC00" w14:textId="22798BCE" w:rsidR="001E7C5B" w:rsidRPr="00422142" w:rsidRDefault="001E7C5B" w:rsidP="001E7C5B">
            <w:pPr>
              <w:rPr>
                <w:rFonts w:ascii="Times New Roman" w:hAnsi="Times New Roman" w:cs="Times New Roman"/>
                <w:i/>
                <w:sz w:val="24"/>
                <w:szCs w:val="24"/>
                <w:lang w:val="en-GB"/>
              </w:rPr>
            </w:pPr>
            <w:r w:rsidRPr="00422142">
              <w:rPr>
                <w:rFonts w:ascii="Times New Roman" w:hAnsi="Times New Roman" w:cs="Times New Roman"/>
                <w:bCs/>
                <w:sz w:val="24"/>
                <w:szCs w:val="24"/>
                <w:lang w:val="en-GB"/>
              </w:rPr>
              <w:br/>
            </w:r>
            <w:proofErr w:type="spellStart"/>
            <w:r w:rsidR="00514A92" w:rsidRPr="00422142">
              <w:rPr>
                <w:rFonts w:ascii="Times New Roman" w:eastAsia="MS Mincho" w:hAnsi="Times New Roman" w:cs="Times New Roman"/>
                <w:b/>
                <w:bCs/>
                <w:sz w:val="24"/>
                <w:szCs w:val="24"/>
              </w:rPr>
              <w:t>Class</w:t>
            </w:r>
            <w:proofErr w:type="spellEnd"/>
            <w:r w:rsidR="00514A92" w:rsidRPr="00422142">
              <w:rPr>
                <w:rFonts w:ascii="Times New Roman" w:eastAsia="MS Mincho" w:hAnsi="Times New Roman" w:cs="Times New Roman"/>
                <w:b/>
                <w:bCs/>
                <w:sz w:val="24"/>
                <w:szCs w:val="24"/>
              </w:rPr>
              <w:t xml:space="preserve"> </w:t>
            </w:r>
            <w:r w:rsidRPr="00422142">
              <w:rPr>
                <w:rFonts w:ascii="Times New Roman" w:eastAsia="MS Mincho" w:hAnsi="Times New Roman" w:cs="Times New Roman"/>
                <w:b/>
                <w:bCs/>
                <w:sz w:val="24"/>
                <w:szCs w:val="24"/>
              </w:rPr>
              <w:t xml:space="preserve">2 </w:t>
            </w:r>
            <w:r w:rsidR="00E85236" w:rsidRPr="00422142">
              <w:rPr>
                <w:rFonts w:ascii="Times New Roman" w:eastAsia="MS Mincho" w:hAnsi="Times New Roman" w:cs="Times New Roman"/>
                <w:b/>
                <w:bCs/>
                <w:sz w:val="24"/>
                <w:szCs w:val="24"/>
              </w:rPr>
              <w:br/>
            </w:r>
            <w:r w:rsidRPr="00422142">
              <w:rPr>
                <w:rFonts w:ascii="Times New Roman" w:hAnsi="Times New Roman" w:cs="Times New Roman"/>
                <w:i/>
                <w:sz w:val="24"/>
                <w:szCs w:val="24"/>
                <w:lang w:val="en-GB"/>
              </w:rPr>
              <w:t>Readings:</w:t>
            </w:r>
          </w:p>
          <w:p w14:paraId="69B84A1A" w14:textId="77777777" w:rsidR="001E7C5B" w:rsidRPr="00422142" w:rsidRDefault="001E7C5B" w:rsidP="001E7C5B">
            <w:pPr>
              <w:numPr>
                <w:ilvl w:val="0"/>
                <w:numId w:val="11"/>
              </w:numPr>
              <w:rPr>
                <w:rFonts w:ascii="Times New Roman" w:eastAsia="SimSun" w:hAnsi="Times New Roman" w:cs="Times New Roman"/>
                <w:sz w:val="24"/>
                <w:szCs w:val="24"/>
                <w:lang w:val="en-GB"/>
              </w:rPr>
            </w:pPr>
            <w:r w:rsidRPr="00422142">
              <w:rPr>
                <w:rFonts w:ascii="Times New Roman" w:hAnsi="Times New Roman" w:cs="Times New Roman"/>
                <w:iCs/>
                <w:sz w:val="24"/>
                <w:szCs w:val="24"/>
                <w:lang w:val="en-GB"/>
              </w:rPr>
              <w:t xml:space="preserve">Bell, Equal treatment, in: </w:t>
            </w:r>
            <w:r w:rsidRPr="00422142">
              <w:rPr>
                <w:rFonts w:ascii="Times New Roman" w:eastAsia="SimSun" w:hAnsi="Times New Roman" w:cs="Times New Roman"/>
                <w:sz w:val="24"/>
                <w:szCs w:val="24"/>
                <w:lang w:val="en-GB"/>
              </w:rPr>
              <w:t xml:space="preserve">Craig and de </w:t>
            </w:r>
            <w:proofErr w:type="spellStart"/>
            <w:r w:rsidRPr="00422142">
              <w:rPr>
                <w:rFonts w:ascii="Times New Roman" w:eastAsia="SimSun" w:hAnsi="Times New Roman" w:cs="Times New Roman"/>
                <w:sz w:val="24"/>
                <w:szCs w:val="24"/>
                <w:lang w:val="en-GB"/>
              </w:rPr>
              <w:t>Burca</w:t>
            </w:r>
            <w:proofErr w:type="spellEnd"/>
            <w:r w:rsidRPr="00422142">
              <w:rPr>
                <w:rFonts w:ascii="Times New Roman" w:eastAsia="SimSun" w:hAnsi="Times New Roman" w:cs="Times New Roman"/>
                <w:sz w:val="24"/>
                <w:szCs w:val="24"/>
                <w:lang w:val="en-GB"/>
              </w:rPr>
              <w:t>, EU law, 2011</w:t>
            </w:r>
          </w:p>
          <w:p w14:paraId="5DFFBC42" w14:textId="77777777" w:rsidR="001E7C5B" w:rsidRPr="00422142" w:rsidRDefault="001E7C5B" w:rsidP="001E7C5B">
            <w:pPr>
              <w:widowControl w:val="0"/>
              <w:numPr>
                <w:ilvl w:val="0"/>
                <w:numId w:val="11"/>
              </w:numPr>
              <w:autoSpaceDE w:val="0"/>
              <w:autoSpaceDN w:val="0"/>
              <w:adjustRightInd w:val="0"/>
              <w:rPr>
                <w:rFonts w:ascii="Times New Roman" w:eastAsia="SimSun" w:hAnsi="Times New Roman" w:cs="Times New Roman"/>
                <w:bCs/>
                <w:sz w:val="24"/>
                <w:szCs w:val="24"/>
                <w:lang w:val="en-GB"/>
              </w:rPr>
            </w:pPr>
            <w:r w:rsidRPr="00422142">
              <w:rPr>
                <w:rFonts w:ascii="Times New Roman" w:eastAsia="SimSun" w:hAnsi="Times New Roman" w:cs="Times New Roman"/>
                <w:bCs/>
                <w:sz w:val="24"/>
                <w:szCs w:val="24"/>
                <w:lang w:val="en-GB"/>
              </w:rPr>
              <w:t xml:space="preserve">Rosas/Amati, </w:t>
            </w:r>
            <w:proofErr w:type="spellStart"/>
            <w:r w:rsidRPr="00422142">
              <w:rPr>
                <w:rFonts w:ascii="Times New Roman" w:eastAsia="SimSun" w:hAnsi="Times New Roman" w:cs="Times New Roman"/>
                <w:bCs/>
                <w:i/>
                <w:sz w:val="24"/>
                <w:szCs w:val="24"/>
                <w:lang w:val="en-GB"/>
              </w:rPr>
              <w:t>Civis</w:t>
            </w:r>
            <w:proofErr w:type="spellEnd"/>
            <w:r w:rsidRPr="00422142">
              <w:rPr>
                <w:rFonts w:ascii="Times New Roman" w:eastAsia="SimSun" w:hAnsi="Times New Roman" w:cs="Times New Roman"/>
                <w:bCs/>
                <w:i/>
                <w:sz w:val="24"/>
                <w:szCs w:val="24"/>
                <w:lang w:val="en-GB"/>
              </w:rPr>
              <w:t xml:space="preserve"> </w:t>
            </w:r>
            <w:proofErr w:type="spellStart"/>
            <w:r w:rsidRPr="00422142">
              <w:rPr>
                <w:rFonts w:ascii="Times New Roman" w:eastAsia="SimSun" w:hAnsi="Times New Roman" w:cs="Times New Roman"/>
                <w:bCs/>
                <w:i/>
                <w:sz w:val="24"/>
                <w:szCs w:val="24"/>
                <w:lang w:val="en-GB"/>
              </w:rPr>
              <w:t>Europeus</w:t>
            </w:r>
            <w:proofErr w:type="spellEnd"/>
            <w:r w:rsidRPr="00422142">
              <w:rPr>
                <w:rFonts w:ascii="Times New Roman" w:eastAsia="SimSun" w:hAnsi="Times New Roman" w:cs="Times New Roman"/>
                <w:bCs/>
                <w:i/>
                <w:sz w:val="24"/>
                <w:szCs w:val="24"/>
                <w:lang w:val="en-GB"/>
              </w:rPr>
              <w:t xml:space="preserve"> Sum</w:t>
            </w:r>
            <w:r w:rsidRPr="00422142">
              <w:rPr>
                <w:rFonts w:ascii="Times New Roman" w:eastAsia="SimSun" w:hAnsi="Times New Roman" w:cs="Times New Roman"/>
                <w:bCs/>
                <w:sz w:val="24"/>
                <w:szCs w:val="24"/>
                <w:lang w:val="en-GB"/>
              </w:rPr>
              <w:t xml:space="preserve">, in: EU constitutional law, 2012 </w:t>
            </w:r>
            <w:r w:rsidRPr="00422142">
              <w:rPr>
                <w:rFonts w:ascii="Times New Roman" w:hAnsi="Times New Roman" w:cs="Times New Roman"/>
                <w:sz w:val="24"/>
                <w:szCs w:val="24"/>
                <w:lang w:val="en-GB"/>
              </w:rPr>
              <w:t>[recommended]</w:t>
            </w:r>
          </w:p>
          <w:p w14:paraId="36E610A3" w14:textId="77777777" w:rsidR="001E7C5B" w:rsidRPr="00422142" w:rsidRDefault="001E7C5B" w:rsidP="001E7C5B">
            <w:pPr>
              <w:ind w:left="708"/>
              <w:rPr>
                <w:rFonts w:ascii="Times New Roman" w:hAnsi="Times New Roman" w:cs="Times New Roman"/>
                <w:sz w:val="24"/>
                <w:szCs w:val="24"/>
                <w:lang w:val="en-GB"/>
              </w:rPr>
            </w:pPr>
          </w:p>
          <w:p w14:paraId="3318FCD5" w14:textId="77777777" w:rsidR="001E7C5B" w:rsidRPr="00422142" w:rsidRDefault="001E7C5B" w:rsidP="00514A92">
            <w:pPr>
              <w:rPr>
                <w:rFonts w:ascii="Times New Roman" w:hAnsi="Times New Roman" w:cs="Times New Roman"/>
                <w:i/>
                <w:sz w:val="24"/>
                <w:szCs w:val="24"/>
                <w:lang w:val="en-GB"/>
              </w:rPr>
            </w:pPr>
            <w:r w:rsidRPr="00422142">
              <w:rPr>
                <w:rFonts w:ascii="Times New Roman" w:hAnsi="Times New Roman" w:cs="Times New Roman"/>
                <w:i/>
                <w:sz w:val="24"/>
                <w:szCs w:val="24"/>
                <w:lang w:val="en-GB"/>
              </w:rPr>
              <w:t>Oral assignment:</w:t>
            </w:r>
          </w:p>
          <w:p w14:paraId="60A83305" w14:textId="77777777" w:rsidR="001E7C5B" w:rsidRPr="00422142" w:rsidRDefault="001E7C5B"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Case C-135/08 </w:t>
            </w:r>
            <w:proofErr w:type="spellStart"/>
            <w:r w:rsidRPr="00422142">
              <w:rPr>
                <w:rFonts w:ascii="Times New Roman" w:hAnsi="Times New Roman" w:cs="Times New Roman"/>
                <w:sz w:val="24"/>
                <w:szCs w:val="24"/>
                <w:lang w:val="en-GB"/>
              </w:rPr>
              <w:t>Janko</w:t>
            </w:r>
            <w:proofErr w:type="spellEnd"/>
            <w:r w:rsidRPr="00422142">
              <w:rPr>
                <w:rFonts w:ascii="Times New Roman" w:hAnsi="Times New Roman" w:cs="Times New Roman"/>
                <w:sz w:val="24"/>
                <w:szCs w:val="24"/>
                <w:lang w:val="en-GB"/>
              </w:rPr>
              <w:t xml:space="preserve"> </w:t>
            </w:r>
            <w:proofErr w:type="spellStart"/>
            <w:r w:rsidRPr="00422142">
              <w:rPr>
                <w:rFonts w:ascii="Times New Roman" w:hAnsi="Times New Roman" w:cs="Times New Roman"/>
                <w:sz w:val="24"/>
                <w:szCs w:val="24"/>
                <w:lang w:val="en-GB"/>
              </w:rPr>
              <w:t>Rottmann</w:t>
            </w:r>
            <w:proofErr w:type="spellEnd"/>
            <w:r w:rsidRPr="00422142">
              <w:rPr>
                <w:rFonts w:ascii="Times New Roman" w:hAnsi="Times New Roman" w:cs="Times New Roman"/>
                <w:sz w:val="24"/>
                <w:szCs w:val="24"/>
                <w:lang w:val="en-GB"/>
              </w:rPr>
              <w:t xml:space="preserve"> and Case C-34/09 Ruiz Zambrano [Curia website]</w:t>
            </w:r>
          </w:p>
          <w:p w14:paraId="2FBA3723" w14:textId="77777777" w:rsidR="001E7C5B" w:rsidRPr="00422142" w:rsidRDefault="001E7C5B"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Case C-364/10 Hungary v. Slovakia [Curia website]</w:t>
            </w:r>
          </w:p>
          <w:p w14:paraId="15E1F7E9" w14:textId="77777777" w:rsidR="001E7C5B" w:rsidRPr="00422142" w:rsidRDefault="001E7C5B"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lastRenderedPageBreak/>
              <w:t xml:space="preserve">Case C-13/05 </w:t>
            </w:r>
            <w:proofErr w:type="spellStart"/>
            <w:r w:rsidRPr="00422142">
              <w:rPr>
                <w:rFonts w:ascii="Times New Roman" w:hAnsi="Times New Roman" w:cs="Times New Roman"/>
                <w:sz w:val="24"/>
                <w:szCs w:val="24"/>
                <w:lang w:val="en-GB"/>
              </w:rPr>
              <w:t>Chacón</w:t>
            </w:r>
            <w:proofErr w:type="spellEnd"/>
            <w:r w:rsidRPr="00422142">
              <w:rPr>
                <w:rFonts w:ascii="Times New Roman" w:hAnsi="Times New Roman" w:cs="Times New Roman"/>
                <w:sz w:val="24"/>
                <w:szCs w:val="24"/>
                <w:lang w:val="en-GB"/>
              </w:rPr>
              <w:t xml:space="preserve"> Navas, </w:t>
            </w:r>
          </w:p>
          <w:p w14:paraId="18F04FFB" w14:textId="77777777" w:rsidR="001E7C5B" w:rsidRPr="00422142" w:rsidRDefault="001E7C5B"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Case C-303/06 Coleman, </w:t>
            </w:r>
          </w:p>
          <w:p w14:paraId="56391BB6" w14:textId="77777777" w:rsidR="001E7C5B" w:rsidRPr="00422142" w:rsidRDefault="001E7C5B"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Joined Cases C-335/11 and C-337/11 Ring and </w:t>
            </w:r>
            <w:proofErr w:type="spellStart"/>
            <w:r w:rsidRPr="00422142">
              <w:rPr>
                <w:rFonts w:ascii="Times New Roman" w:hAnsi="Times New Roman" w:cs="Times New Roman"/>
                <w:sz w:val="24"/>
                <w:szCs w:val="24"/>
                <w:lang w:val="en-GB"/>
              </w:rPr>
              <w:t>Werge</w:t>
            </w:r>
            <w:proofErr w:type="spellEnd"/>
            <w:r w:rsidRPr="00422142">
              <w:rPr>
                <w:rFonts w:ascii="Times New Roman" w:hAnsi="Times New Roman" w:cs="Times New Roman"/>
                <w:sz w:val="24"/>
                <w:szCs w:val="24"/>
                <w:lang w:val="en-GB"/>
              </w:rPr>
              <w:t xml:space="preserve">, </w:t>
            </w:r>
          </w:p>
          <w:p w14:paraId="67E8F28D" w14:textId="4AD2E755" w:rsidR="001E7C5B" w:rsidRPr="00422142" w:rsidRDefault="001E7C5B" w:rsidP="002F323B">
            <w:pPr>
              <w:pStyle w:val="Listaszerbekezds"/>
              <w:numPr>
                <w:ilvl w:val="0"/>
                <w:numId w:val="17"/>
              </w:numPr>
              <w:ind w:left="592" w:hanging="435"/>
              <w:rPr>
                <w:rFonts w:ascii="Times New Roman" w:eastAsia="Cambria" w:hAnsi="Times New Roman" w:cs="Times New Roman"/>
                <w:sz w:val="24"/>
                <w:szCs w:val="24"/>
                <w:lang w:val="en-GB"/>
              </w:rPr>
            </w:pPr>
            <w:r w:rsidRPr="00422142">
              <w:rPr>
                <w:rFonts w:ascii="Times New Roman" w:hAnsi="Times New Roman" w:cs="Times New Roman"/>
                <w:sz w:val="24"/>
                <w:szCs w:val="24"/>
                <w:lang w:val="en-GB"/>
              </w:rPr>
              <w:t xml:space="preserve">Case C-354/13 </w:t>
            </w:r>
            <w:proofErr w:type="spellStart"/>
            <w:r w:rsidRPr="00422142">
              <w:rPr>
                <w:rFonts w:ascii="Times New Roman" w:hAnsi="Times New Roman" w:cs="Times New Roman"/>
                <w:sz w:val="24"/>
                <w:szCs w:val="24"/>
                <w:lang w:val="en-GB"/>
              </w:rPr>
              <w:t>Karsten</w:t>
            </w:r>
            <w:proofErr w:type="spellEnd"/>
            <w:r w:rsidRPr="00422142">
              <w:rPr>
                <w:rFonts w:ascii="Times New Roman" w:hAnsi="Times New Roman" w:cs="Times New Roman"/>
                <w:sz w:val="24"/>
                <w:szCs w:val="24"/>
                <w:lang w:val="en-GB"/>
              </w:rPr>
              <w:t xml:space="preserve"> </w:t>
            </w:r>
            <w:proofErr w:type="spellStart"/>
            <w:r w:rsidRPr="00422142">
              <w:rPr>
                <w:rFonts w:ascii="Times New Roman" w:hAnsi="Times New Roman" w:cs="Times New Roman"/>
                <w:sz w:val="24"/>
                <w:szCs w:val="24"/>
                <w:lang w:val="en-GB"/>
              </w:rPr>
              <w:t>Kaltoft</w:t>
            </w:r>
            <w:proofErr w:type="spellEnd"/>
            <w:r w:rsidRPr="00422142">
              <w:rPr>
                <w:rFonts w:ascii="Times New Roman" w:eastAsia="Cambria" w:hAnsi="Times New Roman" w:cs="Times New Roman"/>
                <w:sz w:val="24"/>
                <w:szCs w:val="24"/>
                <w:lang w:val="en-GB"/>
              </w:rPr>
              <w:t xml:space="preserve"> </w:t>
            </w:r>
            <w:r w:rsidR="00514A92" w:rsidRPr="00422142">
              <w:rPr>
                <w:rFonts w:ascii="Times New Roman" w:eastAsia="Cambria" w:hAnsi="Times New Roman" w:cs="Times New Roman"/>
                <w:sz w:val="24"/>
                <w:szCs w:val="24"/>
                <w:lang w:val="en-GB"/>
              </w:rPr>
              <w:br/>
            </w:r>
          </w:p>
          <w:p w14:paraId="0F8EBB9C" w14:textId="78E5E27B" w:rsidR="00514A92" w:rsidRPr="00422142" w:rsidRDefault="00514A92" w:rsidP="00514A92">
            <w:pPr>
              <w:rPr>
                <w:rFonts w:ascii="Times New Roman" w:hAnsi="Times New Roman" w:cs="Times New Roman"/>
                <w:i/>
                <w:sz w:val="24"/>
                <w:szCs w:val="24"/>
                <w:lang w:val="en-GB"/>
              </w:rPr>
            </w:pPr>
            <w:proofErr w:type="spellStart"/>
            <w:r w:rsidRPr="00422142">
              <w:rPr>
                <w:rFonts w:ascii="Times New Roman" w:eastAsia="MS Mincho" w:hAnsi="Times New Roman" w:cs="Times New Roman"/>
                <w:b/>
                <w:bCs/>
                <w:sz w:val="24"/>
                <w:szCs w:val="24"/>
              </w:rPr>
              <w:t>Class</w:t>
            </w:r>
            <w:proofErr w:type="spellEnd"/>
            <w:r w:rsidRPr="00422142">
              <w:rPr>
                <w:rFonts w:ascii="Times New Roman" w:eastAsia="MS Mincho" w:hAnsi="Times New Roman" w:cs="Times New Roman"/>
                <w:b/>
                <w:bCs/>
                <w:sz w:val="24"/>
                <w:szCs w:val="24"/>
              </w:rPr>
              <w:t xml:space="preserve"> 3 </w:t>
            </w:r>
            <w:r w:rsidR="00E85236" w:rsidRPr="00422142">
              <w:rPr>
                <w:rFonts w:ascii="Times New Roman" w:eastAsia="MS Mincho" w:hAnsi="Times New Roman" w:cs="Times New Roman"/>
                <w:b/>
                <w:bCs/>
                <w:sz w:val="24"/>
                <w:szCs w:val="24"/>
              </w:rPr>
              <w:br/>
            </w:r>
            <w:r w:rsidRPr="00422142">
              <w:rPr>
                <w:rFonts w:ascii="Times New Roman" w:hAnsi="Times New Roman" w:cs="Times New Roman"/>
                <w:i/>
                <w:sz w:val="24"/>
                <w:szCs w:val="24"/>
                <w:lang w:val="en-GB"/>
              </w:rPr>
              <w:t>Readings:</w:t>
            </w:r>
          </w:p>
          <w:p w14:paraId="71C67220" w14:textId="1B66ABC6" w:rsidR="00514A92" w:rsidRPr="00422142" w:rsidRDefault="00514A92" w:rsidP="002F323B">
            <w:pPr>
              <w:numPr>
                <w:ilvl w:val="0"/>
                <w:numId w:val="12"/>
              </w:numPr>
              <w:rPr>
                <w:rFonts w:ascii="Times New Roman" w:hAnsi="Times New Roman" w:cs="Times New Roman"/>
                <w:iCs/>
                <w:sz w:val="24"/>
                <w:szCs w:val="24"/>
                <w:lang w:val="en-GB"/>
              </w:rPr>
            </w:pPr>
            <w:r w:rsidRPr="00422142">
              <w:rPr>
                <w:rFonts w:ascii="Times New Roman" w:hAnsi="Times New Roman" w:cs="Times New Roman"/>
                <w:iCs/>
                <w:sz w:val="24"/>
                <w:szCs w:val="24"/>
                <w:lang w:val="en-GB"/>
              </w:rPr>
              <w:t>Douglas Scott, The EU and Human Rights after the Treaty of Lisbon, 2011</w:t>
            </w:r>
          </w:p>
          <w:p w14:paraId="4CD889A5" w14:textId="77777777" w:rsidR="002E295A" w:rsidRPr="00422142" w:rsidRDefault="002E295A" w:rsidP="002E295A">
            <w:pPr>
              <w:ind w:left="1068"/>
              <w:rPr>
                <w:rFonts w:ascii="Times New Roman" w:hAnsi="Times New Roman" w:cs="Times New Roman"/>
                <w:iCs/>
                <w:sz w:val="24"/>
                <w:szCs w:val="24"/>
                <w:lang w:val="en-GB"/>
              </w:rPr>
            </w:pPr>
          </w:p>
          <w:p w14:paraId="651521BF" w14:textId="77777777" w:rsidR="00514A92" w:rsidRPr="00422142" w:rsidRDefault="00514A92" w:rsidP="00514A92">
            <w:pPr>
              <w:rPr>
                <w:rFonts w:ascii="Times New Roman" w:hAnsi="Times New Roman" w:cs="Times New Roman"/>
                <w:i/>
                <w:sz w:val="24"/>
                <w:szCs w:val="24"/>
                <w:lang w:val="en-GB"/>
              </w:rPr>
            </w:pPr>
            <w:r w:rsidRPr="00422142">
              <w:rPr>
                <w:rFonts w:ascii="Times New Roman" w:hAnsi="Times New Roman" w:cs="Times New Roman"/>
                <w:i/>
                <w:sz w:val="24"/>
                <w:szCs w:val="24"/>
                <w:lang w:val="en-GB"/>
              </w:rPr>
              <w:t>Oral assignment:</w:t>
            </w:r>
          </w:p>
          <w:p w14:paraId="76BC7A6B" w14:textId="77777777" w:rsidR="00514A92" w:rsidRPr="00422142" w:rsidRDefault="00514A92"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Please find and consult the Charter of Fundamental Rights of the European Union. Please prepare for our discussion about clashes between EU law and the ECHR by consulting the following two cases:</w:t>
            </w:r>
          </w:p>
          <w:p w14:paraId="37B15980" w14:textId="4E75D2AE" w:rsidR="00514A92" w:rsidRPr="00422142" w:rsidRDefault="00514A92" w:rsidP="00514A92">
            <w:pPr>
              <w:numPr>
                <w:ilvl w:val="1"/>
                <w:numId w:val="12"/>
              </w:numPr>
              <w:ind w:left="718" w:hanging="141"/>
              <w:rPr>
                <w:rFonts w:ascii="Times New Roman" w:hAnsi="Times New Roman" w:cs="Times New Roman"/>
                <w:sz w:val="24"/>
                <w:szCs w:val="24"/>
                <w:lang w:val="en-GB"/>
              </w:rPr>
            </w:pPr>
            <w:proofErr w:type="spellStart"/>
            <w:r w:rsidRPr="00422142">
              <w:rPr>
                <w:rFonts w:ascii="Times New Roman" w:hAnsi="Times New Roman" w:cs="Times New Roman"/>
                <w:i/>
                <w:iCs/>
                <w:sz w:val="24"/>
                <w:szCs w:val="24"/>
                <w:lang w:val="en-GB"/>
              </w:rPr>
              <w:t>Bosphorus</w:t>
            </w:r>
            <w:proofErr w:type="spellEnd"/>
            <w:r w:rsidRPr="00422142">
              <w:rPr>
                <w:rFonts w:ascii="Times New Roman" w:hAnsi="Times New Roman" w:cs="Times New Roman"/>
                <w:i/>
                <w:iCs/>
                <w:sz w:val="24"/>
                <w:szCs w:val="24"/>
                <w:lang w:val="en-GB"/>
              </w:rPr>
              <w:t xml:space="preserve"> v Ireland</w:t>
            </w:r>
            <w:r w:rsidRPr="00422142">
              <w:rPr>
                <w:rFonts w:ascii="Times New Roman" w:hAnsi="Times New Roman" w:cs="Times New Roman"/>
                <w:sz w:val="24"/>
                <w:szCs w:val="24"/>
                <w:lang w:val="en-GB"/>
              </w:rPr>
              <w:t xml:space="preserve">, Application </w:t>
            </w:r>
            <w:proofErr w:type="gramStart"/>
            <w:r w:rsidRPr="00422142">
              <w:rPr>
                <w:rFonts w:ascii="Times New Roman" w:hAnsi="Times New Roman" w:cs="Times New Roman"/>
                <w:sz w:val="24"/>
                <w:szCs w:val="24"/>
                <w:lang w:val="en-GB"/>
              </w:rPr>
              <w:t>No. 45036/98</w:t>
            </w:r>
            <w:proofErr w:type="gramEnd"/>
            <w:r w:rsidRPr="00422142">
              <w:rPr>
                <w:rFonts w:ascii="Times New Roman" w:hAnsi="Times New Roman" w:cs="Times New Roman"/>
                <w:sz w:val="24"/>
                <w:szCs w:val="24"/>
                <w:lang w:val="en-GB"/>
              </w:rPr>
              <w:t xml:space="preserve">, 30 June </w:t>
            </w:r>
            <w:r w:rsidR="003348F4" w:rsidRPr="00422142">
              <w:rPr>
                <w:rFonts w:ascii="Times New Roman" w:hAnsi="Times New Roman" w:cs="Times New Roman"/>
                <w:sz w:val="24"/>
                <w:szCs w:val="24"/>
                <w:lang w:val="en-GB"/>
              </w:rPr>
              <w:t>2005.</w:t>
            </w:r>
          </w:p>
          <w:p w14:paraId="29C35C71" w14:textId="73ABBB79" w:rsidR="00514A92" w:rsidRPr="00422142" w:rsidRDefault="00514A92" w:rsidP="00514A92">
            <w:pPr>
              <w:numPr>
                <w:ilvl w:val="1"/>
                <w:numId w:val="12"/>
              </w:numPr>
              <w:ind w:left="718" w:hanging="141"/>
              <w:rPr>
                <w:rFonts w:ascii="Times New Roman" w:hAnsi="Times New Roman" w:cs="Times New Roman"/>
                <w:sz w:val="24"/>
                <w:szCs w:val="24"/>
                <w:lang w:val="en-GB"/>
              </w:rPr>
            </w:pPr>
            <w:r w:rsidRPr="00422142">
              <w:rPr>
                <w:rFonts w:ascii="Times New Roman" w:hAnsi="Times New Roman" w:cs="Times New Roman"/>
                <w:i/>
                <w:iCs/>
                <w:sz w:val="24"/>
                <w:szCs w:val="24"/>
                <w:lang w:val="en-GB"/>
              </w:rPr>
              <w:t>Michaud v France</w:t>
            </w:r>
            <w:r w:rsidRPr="00422142">
              <w:rPr>
                <w:rFonts w:ascii="Times New Roman" w:hAnsi="Times New Roman" w:cs="Times New Roman"/>
                <w:sz w:val="24"/>
                <w:szCs w:val="24"/>
                <w:lang w:val="en-GB"/>
              </w:rPr>
              <w:t>, Application No. 12323/11, 6 December 2012 [</w:t>
            </w:r>
            <w:r w:rsidRPr="00422142">
              <w:rPr>
                <w:rFonts w:ascii="Times New Roman" w:hAnsi="Times New Roman" w:cs="Times New Roman"/>
                <w:iCs/>
                <w:sz w:val="24"/>
                <w:szCs w:val="24"/>
                <w:lang w:val="en-GB"/>
              </w:rPr>
              <w:t xml:space="preserve">available at the </w:t>
            </w:r>
            <w:r w:rsidR="003348F4" w:rsidRPr="00422142">
              <w:rPr>
                <w:rFonts w:ascii="Times New Roman" w:hAnsi="Times New Roman" w:cs="Times New Roman"/>
                <w:sz w:val="24"/>
                <w:szCs w:val="24"/>
                <w:lang w:val="en-GB"/>
              </w:rPr>
              <w:t>ECtHR’s website</w:t>
            </w:r>
            <w:r w:rsidRPr="00422142">
              <w:rPr>
                <w:rFonts w:ascii="Times New Roman" w:hAnsi="Times New Roman" w:cs="Times New Roman"/>
                <w:sz w:val="24"/>
                <w:szCs w:val="24"/>
                <w:lang w:val="en-GB"/>
              </w:rPr>
              <w:t>]</w:t>
            </w:r>
            <w:r w:rsidRPr="00422142">
              <w:rPr>
                <w:rFonts w:ascii="Times New Roman" w:hAnsi="Times New Roman" w:cs="Times New Roman"/>
                <w:iCs/>
                <w:sz w:val="24"/>
                <w:szCs w:val="24"/>
                <w:lang w:val="en-GB"/>
              </w:rPr>
              <w:t xml:space="preserve"> </w:t>
            </w:r>
          </w:p>
          <w:p w14:paraId="1E440878" w14:textId="77777777" w:rsidR="002E295A" w:rsidRPr="00422142" w:rsidRDefault="002E295A" w:rsidP="002E295A">
            <w:pPr>
              <w:ind w:left="718"/>
              <w:rPr>
                <w:rFonts w:ascii="Times New Roman" w:hAnsi="Times New Roman" w:cs="Times New Roman"/>
                <w:sz w:val="24"/>
                <w:szCs w:val="24"/>
                <w:lang w:val="en-GB"/>
              </w:rPr>
            </w:pPr>
          </w:p>
          <w:p w14:paraId="117E33DB" w14:textId="262E77E1" w:rsidR="00514A92" w:rsidRPr="00422142" w:rsidRDefault="00514A92" w:rsidP="00514A92">
            <w:pPr>
              <w:rPr>
                <w:rFonts w:ascii="Times New Roman" w:hAnsi="Times New Roman" w:cs="Times New Roman"/>
                <w:i/>
                <w:sz w:val="24"/>
                <w:szCs w:val="24"/>
                <w:lang w:val="en-GB"/>
              </w:rPr>
            </w:pPr>
            <w:proofErr w:type="spellStart"/>
            <w:r w:rsidRPr="00422142">
              <w:rPr>
                <w:rFonts w:ascii="Times New Roman" w:eastAsia="MS Mincho" w:hAnsi="Times New Roman" w:cs="Times New Roman"/>
                <w:b/>
                <w:bCs/>
                <w:sz w:val="24"/>
                <w:szCs w:val="24"/>
              </w:rPr>
              <w:t>Class</w:t>
            </w:r>
            <w:proofErr w:type="spellEnd"/>
            <w:r w:rsidRPr="00422142">
              <w:rPr>
                <w:rFonts w:ascii="Times New Roman" w:eastAsia="MS Mincho" w:hAnsi="Times New Roman" w:cs="Times New Roman"/>
                <w:b/>
                <w:bCs/>
                <w:sz w:val="24"/>
                <w:szCs w:val="24"/>
              </w:rPr>
              <w:t xml:space="preserve"> 4 </w:t>
            </w:r>
            <w:r w:rsidR="00E85236" w:rsidRPr="00422142">
              <w:rPr>
                <w:rFonts w:ascii="Times New Roman" w:eastAsia="MS Mincho" w:hAnsi="Times New Roman" w:cs="Times New Roman"/>
                <w:b/>
                <w:bCs/>
                <w:sz w:val="24"/>
                <w:szCs w:val="24"/>
              </w:rPr>
              <w:br/>
            </w:r>
            <w:r w:rsidRPr="00422142">
              <w:rPr>
                <w:rFonts w:ascii="Times New Roman" w:hAnsi="Times New Roman" w:cs="Times New Roman"/>
                <w:i/>
                <w:sz w:val="24"/>
                <w:szCs w:val="24"/>
                <w:lang w:val="en-GB"/>
              </w:rPr>
              <w:t>Readings:</w:t>
            </w:r>
          </w:p>
          <w:p w14:paraId="31982489" w14:textId="77777777" w:rsidR="00514A92" w:rsidRPr="00422142" w:rsidRDefault="00514A92" w:rsidP="00514A92">
            <w:pPr>
              <w:numPr>
                <w:ilvl w:val="0"/>
                <w:numId w:val="19"/>
              </w:numPr>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Allan Rosas and Loma </w:t>
            </w:r>
            <w:proofErr w:type="spellStart"/>
            <w:r w:rsidRPr="00422142">
              <w:rPr>
                <w:rFonts w:ascii="Times New Roman" w:hAnsi="Times New Roman" w:cs="Times New Roman"/>
                <w:sz w:val="24"/>
                <w:szCs w:val="24"/>
                <w:lang w:val="en-GB"/>
              </w:rPr>
              <w:t>Armati</w:t>
            </w:r>
            <w:proofErr w:type="spellEnd"/>
            <w:r w:rsidRPr="00422142">
              <w:rPr>
                <w:rFonts w:ascii="Times New Roman" w:hAnsi="Times New Roman" w:cs="Times New Roman"/>
                <w:sz w:val="24"/>
                <w:szCs w:val="24"/>
                <w:lang w:val="en-GB"/>
              </w:rPr>
              <w:t xml:space="preserve">, Broadening Horizons? In: Rosas and </w:t>
            </w:r>
            <w:proofErr w:type="spellStart"/>
            <w:r w:rsidRPr="00422142">
              <w:rPr>
                <w:rFonts w:ascii="Times New Roman" w:hAnsi="Times New Roman" w:cs="Times New Roman"/>
                <w:sz w:val="24"/>
                <w:szCs w:val="24"/>
                <w:lang w:val="en-GB"/>
              </w:rPr>
              <w:t>Armati</w:t>
            </w:r>
            <w:proofErr w:type="spellEnd"/>
            <w:r w:rsidRPr="00422142">
              <w:rPr>
                <w:rFonts w:ascii="Times New Roman" w:hAnsi="Times New Roman" w:cs="Times New Roman"/>
                <w:sz w:val="24"/>
                <w:szCs w:val="24"/>
                <w:lang w:val="en-GB"/>
              </w:rPr>
              <w:t xml:space="preserve">, EU Constitutional Law, 2010, 163-177 </w:t>
            </w:r>
          </w:p>
          <w:p w14:paraId="34BE7CA7" w14:textId="77777777" w:rsidR="00514A92" w:rsidRPr="00422142" w:rsidRDefault="00514A92" w:rsidP="00514A92">
            <w:pPr>
              <w:numPr>
                <w:ilvl w:val="0"/>
                <w:numId w:val="19"/>
              </w:numPr>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Constitutional Principles of Union Law, in: André </w:t>
            </w:r>
            <w:proofErr w:type="spellStart"/>
            <w:r w:rsidRPr="00422142">
              <w:rPr>
                <w:rFonts w:ascii="Times New Roman" w:hAnsi="Times New Roman" w:cs="Times New Roman"/>
                <w:sz w:val="24"/>
                <w:szCs w:val="24"/>
                <w:lang w:val="en-GB"/>
              </w:rPr>
              <w:t>Klip</w:t>
            </w:r>
            <w:proofErr w:type="spellEnd"/>
            <w:r w:rsidRPr="00422142">
              <w:rPr>
                <w:rFonts w:ascii="Times New Roman" w:hAnsi="Times New Roman" w:cs="Times New Roman"/>
                <w:sz w:val="24"/>
                <w:szCs w:val="24"/>
                <w:lang w:val="en-GB"/>
              </w:rPr>
              <w:t xml:space="preserve">, European Criminal Law, Antwerp: </w:t>
            </w:r>
            <w:proofErr w:type="spellStart"/>
            <w:r w:rsidRPr="00422142">
              <w:rPr>
                <w:rFonts w:ascii="Times New Roman" w:hAnsi="Times New Roman" w:cs="Times New Roman"/>
                <w:sz w:val="24"/>
                <w:szCs w:val="24"/>
                <w:lang w:val="en-GB"/>
              </w:rPr>
              <w:t>Intersentia</w:t>
            </w:r>
            <w:proofErr w:type="spellEnd"/>
            <w:r w:rsidRPr="00422142">
              <w:rPr>
                <w:rFonts w:ascii="Times New Roman" w:hAnsi="Times New Roman" w:cs="Times New Roman"/>
                <w:sz w:val="24"/>
                <w:szCs w:val="24"/>
                <w:lang w:val="en-GB"/>
              </w:rPr>
              <w:t>, 2012, 49-80 [recommended]</w:t>
            </w:r>
          </w:p>
          <w:p w14:paraId="0AC0E731" w14:textId="2A255A0E" w:rsidR="00514A92" w:rsidRPr="00422142" w:rsidRDefault="00514A92" w:rsidP="00514A92">
            <w:pPr>
              <w:numPr>
                <w:ilvl w:val="0"/>
                <w:numId w:val="19"/>
              </w:numPr>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The Journey of Criminal Law in the EU, in: Ester </w:t>
            </w:r>
            <w:proofErr w:type="spellStart"/>
            <w:r w:rsidRPr="00422142">
              <w:rPr>
                <w:rFonts w:ascii="Times New Roman" w:hAnsi="Times New Roman" w:cs="Times New Roman"/>
                <w:sz w:val="24"/>
                <w:szCs w:val="24"/>
                <w:lang w:val="en-GB"/>
              </w:rPr>
              <w:t>Herlin-Karnell</w:t>
            </w:r>
            <w:proofErr w:type="spellEnd"/>
            <w:r w:rsidRPr="00422142">
              <w:rPr>
                <w:rFonts w:ascii="Times New Roman" w:hAnsi="Times New Roman" w:cs="Times New Roman"/>
                <w:sz w:val="24"/>
                <w:szCs w:val="24"/>
                <w:lang w:val="en-GB"/>
              </w:rPr>
              <w:t>, The Constitutional Dimension of European Criminal Law, Oxford, Hart, 2012, 10-41 [recommended]</w:t>
            </w:r>
          </w:p>
          <w:p w14:paraId="7DD1C5A0" w14:textId="77777777" w:rsidR="002E295A" w:rsidRPr="00422142" w:rsidRDefault="002E295A" w:rsidP="002E295A">
            <w:pPr>
              <w:numPr>
                <w:ilvl w:val="0"/>
                <w:numId w:val="13"/>
              </w:numPr>
              <w:contextualSpacing/>
              <w:rPr>
                <w:rFonts w:ascii="Times New Roman" w:hAnsi="Times New Roman" w:cs="Times New Roman"/>
                <w:sz w:val="24"/>
                <w:szCs w:val="24"/>
                <w:lang w:val="en-GB"/>
              </w:rPr>
            </w:pPr>
            <w:proofErr w:type="spellStart"/>
            <w:r w:rsidRPr="00422142">
              <w:rPr>
                <w:rFonts w:ascii="Times New Roman" w:hAnsi="Times New Roman" w:cs="Times New Roman"/>
                <w:sz w:val="24"/>
                <w:szCs w:val="24"/>
                <w:lang w:val="en-GB"/>
              </w:rPr>
              <w:t>Valsamis</w:t>
            </w:r>
            <w:proofErr w:type="spellEnd"/>
            <w:r w:rsidRPr="00422142">
              <w:rPr>
                <w:rFonts w:ascii="Times New Roman" w:hAnsi="Times New Roman" w:cs="Times New Roman"/>
                <w:sz w:val="24"/>
                <w:szCs w:val="24"/>
                <w:lang w:val="en-GB"/>
              </w:rPr>
              <w:t xml:space="preserve"> </w:t>
            </w:r>
            <w:proofErr w:type="spellStart"/>
            <w:r w:rsidRPr="00422142">
              <w:rPr>
                <w:rFonts w:ascii="Times New Roman" w:hAnsi="Times New Roman" w:cs="Times New Roman"/>
                <w:sz w:val="24"/>
                <w:szCs w:val="24"/>
                <w:lang w:val="en-GB"/>
              </w:rPr>
              <w:t>Mitsilegas</w:t>
            </w:r>
            <w:proofErr w:type="spellEnd"/>
            <w:r w:rsidRPr="00422142">
              <w:rPr>
                <w:rFonts w:ascii="Times New Roman" w:hAnsi="Times New Roman" w:cs="Times New Roman"/>
                <w:sz w:val="24"/>
                <w:szCs w:val="24"/>
                <w:lang w:val="en-GB"/>
              </w:rPr>
              <w:t xml:space="preserve">, Mutual recognition, in: </w:t>
            </w:r>
            <w:proofErr w:type="spellStart"/>
            <w:r w:rsidRPr="00422142">
              <w:rPr>
                <w:rFonts w:ascii="Times New Roman" w:hAnsi="Times New Roman" w:cs="Times New Roman"/>
                <w:sz w:val="24"/>
                <w:szCs w:val="24"/>
                <w:lang w:val="en-GB"/>
              </w:rPr>
              <w:t>Mitsilegas</w:t>
            </w:r>
            <w:proofErr w:type="spellEnd"/>
            <w:r w:rsidRPr="00422142">
              <w:rPr>
                <w:rFonts w:ascii="Times New Roman" w:hAnsi="Times New Roman" w:cs="Times New Roman"/>
                <w:sz w:val="24"/>
                <w:szCs w:val="24"/>
                <w:lang w:val="en-GB"/>
              </w:rPr>
              <w:t xml:space="preserve">, EU Criminal Law, Oxford: Hart, 2009, 115-160 </w:t>
            </w:r>
          </w:p>
          <w:p w14:paraId="73978FF8" w14:textId="77777777" w:rsidR="002E295A" w:rsidRPr="00422142" w:rsidRDefault="002E295A" w:rsidP="002E295A">
            <w:pPr>
              <w:numPr>
                <w:ilvl w:val="0"/>
                <w:numId w:val="19"/>
              </w:numPr>
              <w:contextualSpacing/>
              <w:rPr>
                <w:rFonts w:ascii="Times New Roman" w:hAnsi="Times New Roman" w:cs="Times New Roman"/>
                <w:sz w:val="24"/>
                <w:szCs w:val="24"/>
                <w:lang w:val="en-GB"/>
              </w:rPr>
            </w:pPr>
            <w:proofErr w:type="spellStart"/>
            <w:r w:rsidRPr="00422142">
              <w:rPr>
                <w:rFonts w:ascii="Times New Roman" w:hAnsi="Times New Roman" w:cs="Times New Roman"/>
                <w:sz w:val="24"/>
                <w:szCs w:val="24"/>
                <w:lang w:val="en-GB"/>
              </w:rPr>
              <w:t>Kochenov</w:t>
            </w:r>
            <w:proofErr w:type="spellEnd"/>
            <w:r w:rsidRPr="00422142">
              <w:rPr>
                <w:rFonts w:ascii="Times New Roman" w:hAnsi="Times New Roman" w:cs="Times New Roman"/>
                <w:sz w:val="24"/>
                <w:szCs w:val="24"/>
                <w:lang w:val="en-GB"/>
              </w:rPr>
              <w:t>/Bárd, Rule of Law Crisis in the New Member States of the EU: The Pitfalls of Overemphasising Enforcement, 2018, https://reconnect-europe.eu/wp-content/uploads/2018/07/RECONNECT-KochenovBard-WP_27072018b.pdf [recommended]</w:t>
            </w:r>
          </w:p>
          <w:p w14:paraId="187B1F3F" w14:textId="77777777" w:rsidR="002E295A" w:rsidRPr="00422142" w:rsidRDefault="002E295A" w:rsidP="002E295A">
            <w:pPr>
              <w:numPr>
                <w:ilvl w:val="0"/>
                <w:numId w:val="19"/>
              </w:numPr>
              <w:contextualSpacing/>
              <w:rPr>
                <w:rFonts w:ascii="Times New Roman" w:eastAsia="Cambria" w:hAnsi="Times New Roman" w:cs="Times New Roman"/>
                <w:sz w:val="24"/>
                <w:szCs w:val="24"/>
                <w:lang w:val="en-GB"/>
              </w:rPr>
            </w:pPr>
            <w:r w:rsidRPr="00422142">
              <w:rPr>
                <w:rFonts w:ascii="Times New Roman" w:eastAsia="Cambria" w:hAnsi="Times New Roman" w:cs="Times New Roman"/>
                <w:sz w:val="24"/>
                <w:szCs w:val="24"/>
                <w:lang w:val="en-GB"/>
              </w:rPr>
              <w:t xml:space="preserve">Bárd, </w:t>
            </w:r>
            <w:proofErr w:type="gramStart"/>
            <w:r w:rsidRPr="00422142">
              <w:rPr>
                <w:rFonts w:ascii="Times New Roman" w:eastAsia="Cambria" w:hAnsi="Times New Roman" w:cs="Times New Roman"/>
                <w:sz w:val="24"/>
                <w:szCs w:val="24"/>
                <w:lang w:val="en-GB"/>
              </w:rPr>
              <w:t>In</w:t>
            </w:r>
            <w:proofErr w:type="gramEnd"/>
            <w:r w:rsidRPr="00422142">
              <w:rPr>
                <w:rFonts w:ascii="Times New Roman" w:eastAsia="Cambria" w:hAnsi="Times New Roman" w:cs="Times New Roman"/>
                <w:sz w:val="24"/>
                <w:szCs w:val="24"/>
                <w:lang w:val="en-GB"/>
              </w:rPr>
              <w:t xml:space="preserve"> courts we trust, or should we? Judicial independence as the precondition for the effectiveness of EU law, 2022, https://onlinelibrary.wiley.com/doi/full/10.1111/eulj.12425</w:t>
            </w:r>
          </w:p>
          <w:p w14:paraId="75FCA020" w14:textId="77777777" w:rsidR="002E295A" w:rsidRPr="00422142" w:rsidRDefault="002E295A" w:rsidP="002E295A">
            <w:pPr>
              <w:ind w:left="1080"/>
              <w:contextualSpacing/>
              <w:rPr>
                <w:rFonts w:ascii="Times New Roman" w:hAnsi="Times New Roman" w:cs="Times New Roman"/>
                <w:sz w:val="24"/>
                <w:szCs w:val="24"/>
                <w:lang w:val="en-GB"/>
              </w:rPr>
            </w:pPr>
          </w:p>
          <w:p w14:paraId="23F2BEC9" w14:textId="77777777" w:rsidR="00514A92" w:rsidRPr="00422142" w:rsidRDefault="00514A92" w:rsidP="00514A92">
            <w:pPr>
              <w:rPr>
                <w:rFonts w:ascii="Times New Roman" w:hAnsi="Times New Roman" w:cs="Times New Roman"/>
                <w:i/>
                <w:sz w:val="24"/>
                <w:szCs w:val="24"/>
                <w:lang w:val="en-GB"/>
              </w:rPr>
            </w:pPr>
            <w:r w:rsidRPr="00422142">
              <w:rPr>
                <w:rFonts w:ascii="Times New Roman" w:hAnsi="Times New Roman" w:cs="Times New Roman"/>
                <w:i/>
                <w:sz w:val="24"/>
                <w:szCs w:val="24"/>
                <w:lang w:val="en-GB"/>
              </w:rPr>
              <w:t xml:space="preserve">Oral assignment: </w:t>
            </w:r>
          </w:p>
          <w:p w14:paraId="328DEB9A" w14:textId="7797F20B" w:rsidR="00514A92" w:rsidRPr="00422142" w:rsidRDefault="00514A92" w:rsidP="00514A92">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Case C-105/03 Criminal proceedings against Maria </w:t>
            </w:r>
            <w:proofErr w:type="spellStart"/>
            <w:r w:rsidRPr="00422142">
              <w:rPr>
                <w:rFonts w:ascii="Times New Roman" w:hAnsi="Times New Roman" w:cs="Times New Roman"/>
                <w:sz w:val="24"/>
                <w:szCs w:val="24"/>
                <w:lang w:val="en-GB"/>
              </w:rPr>
              <w:t>Pupino</w:t>
            </w:r>
            <w:proofErr w:type="spellEnd"/>
            <w:r w:rsidRPr="00422142">
              <w:rPr>
                <w:rFonts w:ascii="Times New Roman" w:hAnsi="Times New Roman" w:cs="Times New Roman"/>
                <w:sz w:val="24"/>
                <w:szCs w:val="24"/>
                <w:lang w:val="en-GB"/>
              </w:rPr>
              <w:t>, 16 June 2005 [Curia website]</w:t>
            </w:r>
          </w:p>
          <w:p w14:paraId="335568A6" w14:textId="77777777" w:rsidR="000707F6" w:rsidRPr="00422142" w:rsidRDefault="000707F6"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Articles 2 and 7 TEU</w:t>
            </w:r>
          </w:p>
          <w:p w14:paraId="6E9C80A5" w14:textId="77777777" w:rsidR="000707F6" w:rsidRPr="00422142" w:rsidRDefault="000707F6"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lastRenderedPageBreak/>
              <w:t xml:space="preserve">Joined Cases C-404/15 and C-659/15 PPU, </w:t>
            </w:r>
            <w:proofErr w:type="spellStart"/>
            <w:r w:rsidRPr="00422142">
              <w:rPr>
                <w:rFonts w:ascii="Times New Roman" w:hAnsi="Times New Roman" w:cs="Times New Roman"/>
                <w:sz w:val="24"/>
                <w:szCs w:val="24"/>
                <w:lang w:val="en-GB"/>
              </w:rPr>
              <w:t>Aranyosi</w:t>
            </w:r>
            <w:proofErr w:type="spellEnd"/>
            <w:r w:rsidRPr="00422142">
              <w:rPr>
                <w:rFonts w:ascii="Times New Roman" w:hAnsi="Times New Roman" w:cs="Times New Roman"/>
                <w:sz w:val="24"/>
                <w:szCs w:val="24"/>
                <w:lang w:val="en-GB"/>
              </w:rPr>
              <w:t xml:space="preserve"> and </w:t>
            </w:r>
            <w:proofErr w:type="spellStart"/>
            <w:r w:rsidRPr="00422142">
              <w:rPr>
                <w:rFonts w:ascii="Times New Roman" w:hAnsi="Times New Roman" w:cs="Times New Roman"/>
                <w:sz w:val="24"/>
                <w:szCs w:val="24"/>
                <w:lang w:val="en-GB"/>
              </w:rPr>
              <w:t>Căldăraru</w:t>
            </w:r>
            <w:proofErr w:type="spellEnd"/>
            <w:r w:rsidRPr="00422142">
              <w:rPr>
                <w:rFonts w:ascii="Times New Roman" w:hAnsi="Times New Roman" w:cs="Times New Roman"/>
                <w:sz w:val="24"/>
                <w:szCs w:val="24"/>
                <w:lang w:val="en-GB"/>
              </w:rPr>
              <w:t xml:space="preserve"> [Curia website]</w:t>
            </w:r>
          </w:p>
          <w:p w14:paraId="050019B4" w14:textId="77777777" w:rsidR="000707F6" w:rsidRPr="00422142" w:rsidRDefault="000707F6"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Case C-216/18 PPU LM [Curia website]</w:t>
            </w:r>
          </w:p>
          <w:p w14:paraId="6FE6C742" w14:textId="77777777" w:rsidR="000707F6" w:rsidRPr="00422142" w:rsidRDefault="000707F6"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Joined Cases C-508/18 OG (Public Prosecutor’s office of Lübeck) and C-82/19PPU PI (Public Prosecutor’s office of Zwickau) [Curia website]</w:t>
            </w:r>
          </w:p>
          <w:p w14:paraId="03772A03" w14:textId="77777777" w:rsidR="000707F6" w:rsidRPr="00422142" w:rsidRDefault="000707F6" w:rsidP="000707F6">
            <w:pPr>
              <w:numPr>
                <w:ilvl w:val="0"/>
                <w:numId w:val="20"/>
              </w:numPr>
              <w:ind w:left="577" w:hanging="426"/>
              <w:contextualSpacing/>
              <w:rPr>
                <w:rFonts w:ascii="Times New Roman" w:hAnsi="Times New Roman" w:cs="Times New Roman"/>
                <w:sz w:val="24"/>
                <w:szCs w:val="24"/>
                <w:lang w:val="en-GB"/>
              </w:rPr>
            </w:pPr>
            <w:r w:rsidRPr="00422142">
              <w:rPr>
                <w:rFonts w:ascii="Times New Roman" w:hAnsi="Times New Roman" w:cs="Times New Roman"/>
                <w:sz w:val="24"/>
                <w:szCs w:val="24"/>
                <w:lang w:val="en-GB"/>
              </w:rPr>
              <w:t>Case C-509/18 PF (Prosecutor General of Lithuania) [Curia website]</w:t>
            </w:r>
          </w:p>
          <w:p w14:paraId="345207AB" w14:textId="2571F215" w:rsidR="0013685C" w:rsidRPr="00422142" w:rsidRDefault="0013685C" w:rsidP="00BB4823">
            <w:pPr>
              <w:autoSpaceDE w:val="0"/>
              <w:autoSpaceDN w:val="0"/>
              <w:adjustRightInd w:val="0"/>
              <w:jc w:val="both"/>
              <w:rPr>
                <w:rFonts w:ascii="Times New Roman" w:eastAsia="MS Mincho" w:hAnsi="Times New Roman" w:cs="Times New Roman"/>
                <w:b/>
                <w:bCs/>
                <w:sz w:val="24"/>
                <w:szCs w:val="24"/>
              </w:rPr>
            </w:pPr>
          </w:p>
        </w:tc>
      </w:tr>
      <w:tr w:rsidR="0013685C" w:rsidRPr="00422142" w14:paraId="172F0FFF" w14:textId="49FCEC89" w:rsidTr="00422142">
        <w:trPr>
          <w:trHeight w:val="1480"/>
        </w:trPr>
        <w:tc>
          <w:tcPr>
            <w:tcW w:w="2573" w:type="dxa"/>
          </w:tcPr>
          <w:p w14:paraId="7394312A" w14:textId="77777777" w:rsidR="0013685C" w:rsidRPr="00422142" w:rsidRDefault="0013685C" w:rsidP="00B91483">
            <w:pPr>
              <w:autoSpaceDE w:val="0"/>
              <w:autoSpaceDN w:val="0"/>
              <w:adjustRightInd w:val="0"/>
              <w:jc w:val="both"/>
              <w:rPr>
                <w:rFonts w:ascii="Times New Roman" w:eastAsia="MS Mincho" w:hAnsi="Times New Roman" w:cs="Times New Roman"/>
                <w:b/>
                <w:bCs/>
                <w:sz w:val="24"/>
                <w:szCs w:val="24"/>
              </w:rPr>
            </w:pPr>
            <w:proofErr w:type="spellStart"/>
            <w:r w:rsidRPr="00422142">
              <w:rPr>
                <w:rFonts w:ascii="Times New Roman" w:eastAsia="MS Mincho" w:hAnsi="Times New Roman" w:cs="Times New Roman"/>
                <w:b/>
                <w:bCs/>
                <w:sz w:val="24"/>
                <w:szCs w:val="24"/>
              </w:rPr>
              <w:lastRenderedPageBreak/>
              <w:t>Assessment</w:t>
            </w:r>
            <w:proofErr w:type="spellEnd"/>
            <w:r w:rsidRPr="00422142">
              <w:rPr>
                <w:rFonts w:ascii="Times New Roman" w:eastAsia="MS Mincho" w:hAnsi="Times New Roman" w:cs="Times New Roman"/>
                <w:b/>
                <w:bCs/>
                <w:sz w:val="24"/>
                <w:szCs w:val="24"/>
              </w:rPr>
              <w:t>/</w:t>
            </w:r>
            <w:proofErr w:type="spellStart"/>
            <w:r w:rsidRPr="00422142">
              <w:rPr>
                <w:rFonts w:ascii="Times New Roman" w:eastAsia="MS Mincho" w:hAnsi="Times New Roman" w:cs="Times New Roman"/>
                <w:b/>
                <w:bCs/>
                <w:sz w:val="24"/>
                <w:szCs w:val="24"/>
              </w:rPr>
              <w:t>Exam</w:t>
            </w:r>
            <w:proofErr w:type="spellEnd"/>
          </w:p>
        </w:tc>
        <w:tc>
          <w:tcPr>
            <w:tcW w:w="6489" w:type="dxa"/>
          </w:tcPr>
          <w:p w14:paraId="3966110C" w14:textId="77777777" w:rsidR="00E85236" w:rsidRPr="00422142" w:rsidRDefault="00E85236" w:rsidP="00E85236">
            <w:pPr>
              <w:rPr>
                <w:rFonts w:ascii="Times New Roman" w:hAnsi="Times New Roman" w:cs="Times New Roman"/>
                <w:sz w:val="24"/>
                <w:szCs w:val="24"/>
                <w:lang w:val="en-GB"/>
              </w:rPr>
            </w:pPr>
            <w:r w:rsidRPr="00422142">
              <w:rPr>
                <w:rFonts w:ascii="Times New Roman" w:hAnsi="Times New Roman" w:cs="Times New Roman"/>
                <w:sz w:val="24"/>
                <w:szCs w:val="24"/>
                <w:lang w:val="en-GB"/>
              </w:rPr>
              <w:t xml:space="preserve">The final grade </w:t>
            </w:r>
            <w:proofErr w:type="gramStart"/>
            <w:r w:rsidRPr="00422142">
              <w:rPr>
                <w:rFonts w:ascii="Times New Roman" w:hAnsi="Times New Roman" w:cs="Times New Roman"/>
                <w:sz w:val="24"/>
                <w:szCs w:val="24"/>
                <w:lang w:val="en-GB"/>
              </w:rPr>
              <w:t>is based</w:t>
            </w:r>
            <w:proofErr w:type="gramEnd"/>
            <w:r w:rsidRPr="00422142">
              <w:rPr>
                <w:rFonts w:ascii="Times New Roman" w:hAnsi="Times New Roman" w:cs="Times New Roman"/>
                <w:sz w:val="24"/>
                <w:szCs w:val="24"/>
                <w:lang w:val="en-GB"/>
              </w:rPr>
              <w:t xml:space="preserve"> on presence, in-class participation [30%; including presence, oral assignments and active participation in discussions] and a final exam [70%]. The final examination is comprised of a case study and an essay question.</w:t>
            </w:r>
          </w:p>
          <w:p w14:paraId="070B0D34" w14:textId="28BD1259" w:rsidR="0013685C" w:rsidRPr="00422142" w:rsidRDefault="0013685C" w:rsidP="00B91483">
            <w:pPr>
              <w:autoSpaceDE w:val="0"/>
              <w:autoSpaceDN w:val="0"/>
              <w:adjustRightInd w:val="0"/>
              <w:jc w:val="both"/>
              <w:rPr>
                <w:rFonts w:ascii="Times New Roman" w:eastAsia="MS Mincho" w:hAnsi="Times New Roman" w:cs="Times New Roman"/>
                <w:b/>
                <w:bCs/>
                <w:sz w:val="24"/>
                <w:szCs w:val="24"/>
              </w:rPr>
            </w:pPr>
          </w:p>
        </w:tc>
      </w:tr>
    </w:tbl>
    <w:p w14:paraId="42B17EC3" w14:textId="1B93AC40" w:rsidR="00AF6735" w:rsidRPr="00422142"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422142" w:rsidSect="00B74E3C">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E437" w14:textId="77777777" w:rsidR="00171187" w:rsidRDefault="00171187" w:rsidP="006A3E9F">
      <w:pPr>
        <w:spacing w:after="0" w:line="240" w:lineRule="auto"/>
      </w:pPr>
      <w:r>
        <w:separator/>
      </w:r>
    </w:p>
  </w:endnote>
  <w:endnote w:type="continuationSeparator" w:id="0">
    <w:p w14:paraId="5BDAE968" w14:textId="77777777" w:rsidR="00171187" w:rsidRDefault="00171187"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741CE" w14:textId="77777777" w:rsidR="00171187" w:rsidRDefault="00171187" w:rsidP="006A3E9F">
      <w:pPr>
        <w:spacing w:after="0" w:line="240" w:lineRule="auto"/>
      </w:pPr>
      <w:r>
        <w:separator/>
      </w:r>
    </w:p>
  </w:footnote>
  <w:footnote w:type="continuationSeparator" w:id="0">
    <w:p w14:paraId="50D0E705" w14:textId="77777777" w:rsidR="00171187" w:rsidRDefault="00171187"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85F2" w14:textId="4BB6F9C0" w:rsidR="00422142" w:rsidRPr="00422142" w:rsidRDefault="00422142" w:rsidP="00422142">
    <w:pPr>
      <w:tabs>
        <w:tab w:val="left" w:pos="142"/>
        <w:tab w:val="center" w:pos="4536"/>
        <w:tab w:val="right" w:pos="9072"/>
      </w:tabs>
      <w:spacing w:after="0" w:line="240" w:lineRule="auto"/>
      <w:rPr>
        <w:rFonts w:ascii="Cambria" w:eastAsia="MS Mincho" w:hAnsi="Cambria" w:cs="Times New Roman"/>
        <w:sz w:val="24"/>
        <w:szCs w:val="24"/>
        <w:lang w:val="en-US" w:eastAsia="hu-HU"/>
      </w:rPr>
    </w:pPr>
    <w:r w:rsidRPr="00422142">
      <w:rPr>
        <w:rFonts w:ascii="Times New Roman" w:eastAsia="Times New Roman" w:hAnsi="Times New Roman" w:cs="Times New Roman"/>
        <w:noProof/>
        <w:sz w:val="24"/>
        <w:szCs w:val="24"/>
        <w:lang w:eastAsia="hu-HU"/>
      </w:rPr>
      <w:drawing>
        <wp:anchor distT="0" distB="0" distL="114300" distR="114300" simplePos="0" relativeHeight="251659264" behindDoc="0" locked="0" layoutInCell="1" allowOverlap="1" wp14:anchorId="342A5CC3" wp14:editId="6243523E">
          <wp:simplePos x="0" y="0"/>
          <wp:positionH relativeFrom="column">
            <wp:posOffset>-292735</wp:posOffset>
          </wp:positionH>
          <wp:positionV relativeFrom="paragraph">
            <wp:posOffset>87630</wp:posOffset>
          </wp:positionV>
          <wp:extent cx="2987040" cy="652780"/>
          <wp:effectExtent l="0" t="0" r="3810" b="0"/>
          <wp:wrapTight wrapText="bothSides">
            <wp:wrapPolygon edited="0">
              <wp:start x="1929" y="0"/>
              <wp:lineTo x="1102" y="1261"/>
              <wp:lineTo x="0" y="6934"/>
              <wp:lineTo x="0" y="13868"/>
              <wp:lineTo x="1240" y="20171"/>
              <wp:lineTo x="1791" y="20802"/>
              <wp:lineTo x="2893" y="20802"/>
              <wp:lineTo x="16806" y="15759"/>
              <wp:lineTo x="17357" y="11346"/>
              <wp:lineTo x="21490" y="10086"/>
              <wp:lineTo x="21490" y="5043"/>
              <wp:lineTo x="2617" y="0"/>
              <wp:lineTo x="1929"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704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07E57" w14:textId="77777777" w:rsidR="00422142" w:rsidRPr="00422142" w:rsidRDefault="00422142" w:rsidP="00422142">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eastAsia="hu-HU"/>
      </w:rPr>
    </w:pPr>
    <w:r w:rsidRPr="00422142">
      <w:rPr>
        <w:rFonts w:ascii="GaramondBookHun" w:eastAsia="MS Mincho" w:hAnsi="GaramondBookHun" w:cs="GaramondBoldHun"/>
        <w:b/>
        <w:bCs/>
        <w:color w:val="002626"/>
        <w:sz w:val="16"/>
        <w:szCs w:val="16"/>
        <w:lang w:val="en-GB" w:eastAsia="hu-HU"/>
      </w:rPr>
      <w:tab/>
    </w:r>
  </w:p>
  <w:p w14:paraId="48DB98E3" w14:textId="77777777" w:rsidR="00422142" w:rsidRPr="00422142" w:rsidRDefault="00422142" w:rsidP="00422142">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eastAsia="hu-HU"/>
      </w:rPr>
    </w:pPr>
    <w:r w:rsidRPr="00422142">
      <w:rPr>
        <w:rFonts w:ascii="Garamond" w:eastAsia="Times New Roman" w:hAnsi="Garamond" w:cs="Times New Roman"/>
        <w:color w:val="3B3C3B"/>
        <w:sz w:val="16"/>
        <w:szCs w:val="16"/>
        <w:lang w:val="en-US" w:eastAsia="hu-HU"/>
      </w:rPr>
      <w:t>International Relations Office</w:t>
    </w:r>
  </w:p>
  <w:p w14:paraId="2B8508AB" w14:textId="77777777" w:rsidR="00422142" w:rsidRPr="00422142" w:rsidRDefault="00422142" w:rsidP="00422142">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eastAsia="hu-HU"/>
      </w:rPr>
    </w:pPr>
    <w:proofErr w:type="spellStart"/>
    <w:proofErr w:type="gramStart"/>
    <w:r w:rsidRPr="00422142">
      <w:rPr>
        <w:rFonts w:ascii="Garamond" w:eastAsia="Times New Roman" w:hAnsi="Garamond" w:cs="GaramondLightHun"/>
        <w:color w:val="3B3C3B"/>
        <w:sz w:val="16"/>
        <w:szCs w:val="16"/>
        <w:lang w:val="en-US" w:eastAsia="hu-HU"/>
      </w:rPr>
      <w:t>tel</w:t>
    </w:r>
    <w:proofErr w:type="spellEnd"/>
    <w:proofErr w:type="gramEnd"/>
    <w:r w:rsidRPr="00422142">
      <w:rPr>
        <w:rFonts w:ascii="Garamond" w:eastAsia="Times New Roman" w:hAnsi="Garamond" w:cs="GaramondLightHun"/>
        <w:color w:val="3B3C3B"/>
        <w:sz w:val="16"/>
        <w:szCs w:val="16"/>
        <w:lang w:val="en-US" w:eastAsia="hu-HU"/>
      </w:rPr>
      <w:t xml:space="preserve"> +36 1 483 8015</w:t>
    </w:r>
  </w:p>
  <w:p w14:paraId="29AA578C" w14:textId="77777777" w:rsidR="00422142" w:rsidRPr="00422142" w:rsidRDefault="00422142" w:rsidP="00422142">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eastAsia="hu-HU"/>
      </w:rPr>
    </w:pPr>
    <w:r w:rsidRPr="00422142">
      <w:rPr>
        <w:rFonts w:ascii="Garamond" w:eastAsia="Times New Roman" w:hAnsi="Garamond" w:cs="GaramondLightHun"/>
        <w:color w:val="3B3C3B"/>
        <w:sz w:val="16"/>
        <w:szCs w:val="16"/>
        <w:lang w:val="en-US" w:eastAsia="hu-HU"/>
      </w:rPr>
      <w:t>incoming@ajk.elte.hu</w:t>
    </w:r>
  </w:p>
  <w:p w14:paraId="5E622F47" w14:textId="206C8422" w:rsidR="00B74E3C" w:rsidRDefault="00B74E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913"/>
    <w:multiLevelType w:val="hybridMultilevel"/>
    <w:tmpl w:val="FD42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76E21"/>
    <w:multiLevelType w:val="hybridMultilevel"/>
    <w:tmpl w:val="8C528A9E"/>
    <w:lvl w:ilvl="0" w:tplc="0D26D4C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FAA06F9"/>
    <w:multiLevelType w:val="hybridMultilevel"/>
    <w:tmpl w:val="55145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74287F"/>
    <w:multiLevelType w:val="hybridMultilevel"/>
    <w:tmpl w:val="FC1EB496"/>
    <w:lvl w:ilvl="0" w:tplc="040E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8136DBF"/>
    <w:multiLevelType w:val="hybridMultilevel"/>
    <w:tmpl w:val="0E727A40"/>
    <w:lvl w:ilvl="0" w:tplc="040E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84A15"/>
    <w:multiLevelType w:val="hybridMultilevel"/>
    <w:tmpl w:val="7C703EB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8466107"/>
    <w:multiLevelType w:val="hybridMultilevel"/>
    <w:tmpl w:val="4C8619D4"/>
    <w:lvl w:ilvl="0" w:tplc="040E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71EC1"/>
    <w:multiLevelType w:val="hybridMultilevel"/>
    <w:tmpl w:val="558EC414"/>
    <w:lvl w:ilvl="0" w:tplc="040E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2396BF7"/>
    <w:multiLevelType w:val="hybridMultilevel"/>
    <w:tmpl w:val="6144EEB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692C7E6B"/>
    <w:multiLevelType w:val="hybridMultilevel"/>
    <w:tmpl w:val="0DF61D2C"/>
    <w:lvl w:ilvl="0" w:tplc="040E000B">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6C1D5A95"/>
    <w:multiLevelType w:val="hybridMultilevel"/>
    <w:tmpl w:val="A7BC645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3"/>
  </w:num>
  <w:num w:numId="7">
    <w:abstractNumId w:val="17"/>
  </w:num>
  <w:num w:numId="8">
    <w:abstractNumId w:val="12"/>
  </w:num>
  <w:num w:numId="9">
    <w:abstractNumId w:val="13"/>
  </w:num>
  <w:num w:numId="10">
    <w:abstractNumId w:val="9"/>
  </w:num>
  <w:num w:numId="11">
    <w:abstractNumId w:val="16"/>
  </w:num>
  <w:num w:numId="12">
    <w:abstractNumId w:val="14"/>
  </w:num>
  <w:num w:numId="13">
    <w:abstractNumId w:val="0"/>
  </w:num>
  <w:num w:numId="14">
    <w:abstractNumId w:val="10"/>
  </w:num>
  <w:num w:numId="15">
    <w:abstractNumId w:val="1"/>
  </w:num>
  <w:num w:numId="16">
    <w:abstractNumId w:val="8"/>
  </w:num>
  <w:num w:numId="17">
    <w:abstractNumId w:val="11"/>
  </w:num>
  <w:num w:numId="18">
    <w:abstractNumId w:val="1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36E87"/>
    <w:rsid w:val="00070280"/>
    <w:rsid w:val="000707F6"/>
    <w:rsid w:val="0008349D"/>
    <w:rsid w:val="00090822"/>
    <w:rsid w:val="000A54A2"/>
    <w:rsid w:val="000B1D44"/>
    <w:rsid w:val="000E6630"/>
    <w:rsid w:val="00122B14"/>
    <w:rsid w:val="001241F1"/>
    <w:rsid w:val="0013685C"/>
    <w:rsid w:val="00154A91"/>
    <w:rsid w:val="00171187"/>
    <w:rsid w:val="00177C40"/>
    <w:rsid w:val="001A2231"/>
    <w:rsid w:val="001B3B3C"/>
    <w:rsid w:val="001E7C5B"/>
    <w:rsid w:val="002105B1"/>
    <w:rsid w:val="00214377"/>
    <w:rsid w:val="00257A5E"/>
    <w:rsid w:val="0026453B"/>
    <w:rsid w:val="00275162"/>
    <w:rsid w:val="002A7467"/>
    <w:rsid w:val="002B0E84"/>
    <w:rsid w:val="002B2437"/>
    <w:rsid w:val="002C5780"/>
    <w:rsid w:val="002D4CE3"/>
    <w:rsid w:val="002E295A"/>
    <w:rsid w:val="002F323B"/>
    <w:rsid w:val="002F4EDE"/>
    <w:rsid w:val="00314EEA"/>
    <w:rsid w:val="003172C1"/>
    <w:rsid w:val="00326BDD"/>
    <w:rsid w:val="003348F4"/>
    <w:rsid w:val="00347A6B"/>
    <w:rsid w:val="00375825"/>
    <w:rsid w:val="003A18B5"/>
    <w:rsid w:val="003D6FD0"/>
    <w:rsid w:val="00422142"/>
    <w:rsid w:val="004459A6"/>
    <w:rsid w:val="00462CEF"/>
    <w:rsid w:val="00464EDA"/>
    <w:rsid w:val="0047089D"/>
    <w:rsid w:val="004B15C4"/>
    <w:rsid w:val="004C71B7"/>
    <w:rsid w:val="004E18B0"/>
    <w:rsid w:val="004E509C"/>
    <w:rsid w:val="005122B1"/>
    <w:rsid w:val="00514A92"/>
    <w:rsid w:val="005155A0"/>
    <w:rsid w:val="00556081"/>
    <w:rsid w:val="00575FBE"/>
    <w:rsid w:val="005A64D8"/>
    <w:rsid w:val="00660BBE"/>
    <w:rsid w:val="006A00EE"/>
    <w:rsid w:val="006A370D"/>
    <w:rsid w:val="006A3E9F"/>
    <w:rsid w:val="006B41A4"/>
    <w:rsid w:val="0070193A"/>
    <w:rsid w:val="00724AC9"/>
    <w:rsid w:val="007258B7"/>
    <w:rsid w:val="007317AD"/>
    <w:rsid w:val="00734076"/>
    <w:rsid w:val="00740F2E"/>
    <w:rsid w:val="007563EA"/>
    <w:rsid w:val="0077573E"/>
    <w:rsid w:val="00794C2C"/>
    <w:rsid w:val="007A40F6"/>
    <w:rsid w:val="007A4D5A"/>
    <w:rsid w:val="007B2903"/>
    <w:rsid w:val="007C412C"/>
    <w:rsid w:val="007C4AA8"/>
    <w:rsid w:val="007E1F1F"/>
    <w:rsid w:val="00843161"/>
    <w:rsid w:val="008759F5"/>
    <w:rsid w:val="008B251A"/>
    <w:rsid w:val="008C6F6E"/>
    <w:rsid w:val="008E206F"/>
    <w:rsid w:val="008E334E"/>
    <w:rsid w:val="008F4789"/>
    <w:rsid w:val="00907F12"/>
    <w:rsid w:val="0093128C"/>
    <w:rsid w:val="00942596"/>
    <w:rsid w:val="00957CD4"/>
    <w:rsid w:val="00970042"/>
    <w:rsid w:val="00987F31"/>
    <w:rsid w:val="009A0A97"/>
    <w:rsid w:val="009A2832"/>
    <w:rsid w:val="009D7326"/>
    <w:rsid w:val="00A054C2"/>
    <w:rsid w:val="00A24E3E"/>
    <w:rsid w:val="00A34386"/>
    <w:rsid w:val="00A40DF6"/>
    <w:rsid w:val="00A66710"/>
    <w:rsid w:val="00AF6735"/>
    <w:rsid w:val="00B1106A"/>
    <w:rsid w:val="00B5054D"/>
    <w:rsid w:val="00B6676D"/>
    <w:rsid w:val="00B74E3C"/>
    <w:rsid w:val="00B9260F"/>
    <w:rsid w:val="00BA3AB1"/>
    <w:rsid w:val="00BA6A21"/>
    <w:rsid w:val="00BB4823"/>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F137E"/>
    <w:rsid w:val="00DF6828"/>
    <w:rsid w:val="00E0037E"/>
    <w:rsid w:val="00E50966"/>
    <w:rsid w:val="00E85236"/>
    <w:rsid w:val="00E90C54"/>
    <w:rsid w:val="00ED29E0"/>
    <w:rsid w:val="00F13D45"/>
    <w:rsid w:val="00F41B04"/>
    <w:rsid w:val="00F549E7"/>
    <w:rsid w:val="00F65908"/>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
    <w:name w:val="newshead"/>
    <w:basedOn w:val="Bekezdsalapbettpusa"/>
    <w:rsid w:val="007C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04824318">
      <w:bodyDiv w:val="1"/>
      <w:marLeft w:val="0"/>
      <w:marRight w:val="0"/>
      <w:marTop w:val="0"/>
      <w:marBottom w:val="0"/>
      <w:divBdr>
        <w:top w:val="none" w:sz="0" w:space="0" w:color="auto"/>
        <w:left w:val="none" w:sz="0" w:space="0" w:color="auto"/>
        <w:bottom w:val="none" w:sz="0" w:space="0" w:color="auto"/>
        <w:right w:val="none" w:sz="0" w:space="0" w:color="auto"/>
      </w:divBdr>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21169889">
      <w:bodyDiv w:val="1"/>
      <w:marLeft w:val="0"/>
      <w:marRight w:val="0"/>
      <w:marTop w:val="0"/>
      <w:marBottom w:val="0"/>
      <w:divBdr>
        <w:top w:val="none" w:sz="0" w:space="0" w:color="auto"/>
        <w:left w:val="none" w:sz="0" w:space="0" w:color="auto"/>
        <w:bottom w:val="none" w:sz="0" w:space="0" w:color="auto"/>
        <w:right w:val="none" w:sz="0" w:space="0" w:color="auto"/>
      </w:divBdr>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59619868">
      <w:bodyDiv w:val="1"/>
      <w:marLeft w:val="0"/>
      <w:marRight w:val="0"/>
      <w:marTop w:val="0"/>
      <w:marBottom w:val="0"/>
      <w:divBdr>
        <w:top w:val="none" w:sz="0" w:space="0" w:color="auto"/>
        <w:left w:val="none" w:sz="0" w:space="0" w:color="auto"/>
        <w:bottom w:val="none" w:sz="0" w:space="0" w:color="auto"/>
        <w:right w:val="none" w:sz="0" w:space="0" w:color="auto"/>
      </w:divBdr>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604024042">
      <w:bodyDiv w:val="1"/>
      <w:marLeft w:val="0"/>
      <w:marRight w:val="0"/>
      <w:marTop w:val="0"/>
      <w:marBottom w:val="0"/>
      <w:divBdr>
        <w:top w:val="none" w:sz="0" w:space="0" w:color="auto"/>
        <w:left w:val="none" w:sz="0" w:space="0" w:color="auto"/>
        <w:bottom w:val="none" w:sz="0" w:space="0" w:color="auto"/>
        <w:right w:val="none" w:sz="0" w:space="0" w:color="auto"/>
      </w:divBdr>
    </w:div>
    <w:div w:id="1936939553">
      <w:bodyDiv w:val="1"/>
      <w:marLeft w:val="0"/>
      <w:marRight w:val="0"/>
      <w:marTop w:val="0"/>
      <w:marBottom w:val="0"/>
      <w:divBdr>
        <w:top w:val="none" w:sz="0" w:space="0" w:color="auto"/>
        <w:left w:val="none" w:sz="0" w:space="0" w:color="auto"/>
        <w:bottom w:val="none" w:sz="0" w:space="0" w:color="auto"/>
        <w:right w:val="none" w:sz="0" w:space="0" w:color="auto"/>
      </w:divBdr>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bard@aj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rl.europa.eu/aboutparliament/en/0081f4b3c7/Law-making-procedures-in-detai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CA53-AE1A-4214-933F-2A96EA23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9020</Characters>
  <Application>Microsoft Office Word</Application>
  <DocSecurity>4</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2022-06-17T08:51:00Z</dcterms:created>
  <dcterms:modified xsi:type="dcterms:W3CDTF">2022-06-17T08:51:00Z</dcterms:modified>
</cp:coreProperties>
</file>