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10E" w:rsidRPr="003D242D" w:rsidRDefault="003D242D" w:rsidP="0078610E">
      <w:pPr>
        <w:autoSpaceDE w:val="0"/>
        <w:autoSpaceDN w:val="0"/>
        <w:adjustRightInd w:val="0"/>
        <w:jc w:val="center"/>
        <w:rPr>
          <w:rFonts w:eastAsia="Calibri"/>
          <w:b/>
          <w:bCs/>
          <w:color w:val="000000"/>
          <w:sz w:val="28"/>
          <w:szCs w:val="28"/>
          <w:u w:val="single"/>
          <w:lang w:val="en-GB"/>
        </w:rPr>
      </w:pPr>
      <w:r w:rsidRPr="003D242D">
        <w:rPr>
          <w:rFonts w:eastAsia="Calibri"/>
          <w:b/>
          <w:bCs/>
          <w:color w:val="000000"/>
          <w:sz w:val="28"/>
          <w:szCs w:val="28"/>
          <w:u w:val="single"/>
          <w:lang w:val="en-GB"/>
        </w:rPr>
        <w:t>European Public Law and Policy</w:t>
      </w:r>
    </w:p>
    <w:p w:rsidR="0078610E" w:rsidRDefault="0078610E" w:rsidP="0078610E">
      <w:pPr>
        <w:autoSpaceDE w:val="0"/>
        <w:autoSpaceDN w:val="0"/>
        <w:adjustRightInd w:val="0"/>
        <w:rPr>
          <w:rFonts w:eastAsia="Calibri"/>
          <w:b/>
          <w:bCs/>
          <w:color w:val="000000"/>
          <w:u w:val="single"/>
          <w:lang w:val="en-GB"/>
        </w:rPr>
      </w:pPr>
    </w:p>
    <w:p w:rsidR="003D242D" w:rsidRDefault="0078610E" w:rsidP="0078610E">
      <w:pPr>
        <w:ind w:right="-8"/>
        <w:jc w:val="both"/>
        <w:rPr>
          <w:b/>
        </w:rPr>
      </w:pPr>
      <w:r w:rsidRPr="008827E2">
        <w:rPr>
          <w:b/>
        </w:rPr>
        <w:t>Lecturer</w:t>
      </w:r>
      <w:r>
        <w:rPr>
          <w:b/>
        </w:rPr>
        <w:t>s</w:t>
      </w:r>
      <w:r w:rsidRPr="008827E2">
        <w:rPr>
          <w:b/>
        </w:rPr>
        <w:t xml:space="preserve">: </w:t>
      </w:r>
      <w:r w:rsidR="003D242D">
        <w:rPr>
          <w:b/>
        </w:rPr>
        <w:t xml:space="preserve">Prof. Pál </w:t>
      </w:r>
      <w:r w:rsidR="003D242D" w:rsidRPr="003D242D">
        <w:rPr>
          <w:b/>
        </w:rPr>
        <w:t xml:space="preserve">Sonnevend, Dr. </w:t>
      </w:r>
      <w:r w:rsidR="003D242D">
        <w:rPr>
          <w:b/>
        </w:rPr>
        <w:t xml:space="preserve">Gábor </w:t>
      </w:r>
      <w:r w:rsidR="003D242D" w:rsidRPr="003D242D">
        <w:rPr>
          <w:b/>
        </w:rPr>
        <w:t>Kajtá</w:t>
      </w:r>
      <w:r w:rsidR="003D242D">
        <w:rPr>
          <w:b/>
        </w:rPr>
        <w:t>r</w:t>
      </w:r>
      <w:r w:rsidR="003D242D" w:rsidRPr="003D242D">
        <w:rPr>
          <w:b/>
        </w:rPr>
        <w:t xml:space="preserve">, </w:t>
      </w:r>
      <w:r w:rsidR="003D242D">
        <w:rPr>
          <w:b/>
        </w:rPr>
        <w:t xml:space="preserve">Prof. Gábor </w:t>
      </w:r>
      <w:proofErr w:type="spellStart"/>
      <w:r w:rsidR="003D242D">
        <w:rPr>
          <w:b/>
        </w:rPr>
        <w:t>Kardos</w:t>
      </w:r>
      <w:proofErr w:type="spellEnd"/>
      <w:r w:rsidR="003D242D" w:rsidRPr="003D242D">
        <w:rPr>
          <w:b/>
        </w:rPr>
        <w:t xml:space="preserve">, </w:t>
      </w:r>
    </w:p>
    <w:p w:rsidR="003D242D" w:rsidRDefault="003D242D" w:rsidP="003D242D">
      <w:pPr>
        <w:ind w:left="720" w:right="-8"/>
        <w:jc w:val="both"/>
        <w:rPr>
          <w:b/>
        </w:rPr>
      </w:pPr>
      <w:r>
        <w:rPr>
          <w:b/>
        </w:rPr>
        <w:t xml:space="preserve">       </w:t>
      </w:r>
      <w:r w:rsidRPr="003D242D">
        <w:rPr>
          <w:b/>
        </w:rPr>
        <w:t xml:space="preserve">Dr. </w:t>
      </w:r>
      <w:r>
        <w:rPr>
          <w:b/>
        </w:rPr>
        <w:t xml:space="preserve">Petra </w:t>
      </w:r>
      <w:r w:rsidRPr="003D242D">
        <w:rPr>
          <w:b/>
        </w:rPr>
        <w:t>Jeney, Dr.</w:t>
      </w:r>
      <w:r>
        <w:rPr>
          <w:b/>
        </w:rPr>
        <w:t xml:space="preserve"> Tamás </w:t>
      </w:r>
      <w:r w:rsidRPr="003D242D">
        <w:rPr>
          <w:b/>
        </w:rPr>
        <w:t>Kende</w:t>
      </w:r>
      <w:r>
        <w:rPr>
          <w:b/>
        </w:rPr>
        <w:t>,</w:t>
      </w:r>
      <w:r w:rsidRPr="003D242D">
        <w:rPr>
          <w:b/>
        </w:rPr>
        <w:t xml:space="preserve"> Dr. </w:t>
      </w:r>
      <w:r>
        <w:rPr>
          <w:b/>
        </w:rPr>
        <w:t xml:space="preserve">Katalin </w:t>
      </w:r>
      <w:r w:rsidRPr="003D242D">
        <w:rPr>
          <w:b/>
        </w:rPr>
        <w:t>Sulyok</w:t>
      </w:r>
    </w:p>
    <w:p w:rsidR="0078610E" w:rsidRPr="008827E2" w:rsidRDefault="003D242D" w:rsidP="003D242D">
      <w:pPr>
        <w:ind w:left="720" w:right="-8"/>
        <w:jc w:val="both"/>
      </w:pPr>
      <w:r>
        <w:rPr>
          <w:b/>
        </w:rPr>
        <w:t xml:space="preserve">       </w:t>
      </w:r>
      <w:r w:rsidR="0078610E" w:rsidRPr="008827E2">
        <w:rPr>
          <w:rFonts w:eastAsia="MS Mincho"/>
          <w:bCs/>
        </w:rPr>
        <w:t xml:space="preserve">Department of International Law </w:t>
      </w:r>
    </w:p>
    <w:p w:rsidR="0078610E" w:rsidRDefault="00DA4AF3" w:rsidP="0078610E">
      <w:pPr>
        <w:autoSpaceDE w:val="0"/>
        <w:autoSpaceDN w:val="0"/>
        <w:adjustRightInd w:val="0"/>
        <w:rPr>
          <w:rFonts w:eastAsia="Calibri"/>
          <w:b/>
          <w:bCs/>
          <w:color w:val="000000"/>
          <w:lang w:val="en-GB"/>
        </w:rPr>
      </w:pPr>
      <w:r>
        <w:rPr>
          <w:rFonts w:eastAsia="Calibri"/>
          <w:b/>
          <w:bCs/>
          <w:color w:val="000000"/>
          <w:lang w:val="en-GB"/>
        </w:rPr>
        <w:tab/>
      </w:r>
    </w:p>
    <w:p w:rsidR="0078610E" w:rsidRDefault="0078610E" w:rsidP="0078610E">
      <w:pPr>
        <w:autoSpaceDE w:val="0"/>
        <w:autoSpaceDN w:val="0"/>
        <w:adjustRightInd w:val="0"/>
        <w:jc w:val="both"/>
        <w:rPr>
          <w:rFonts w:eastAsia="Calibri"/>
          <w:b/>
          <w:lang w:val="en-GB"/>
        </w:rPr>
      </w:pPr>
      <w:r w:rsidRPr="0078610E">
        <w:rPr>
          <w:rFonts w:eastAsia="Calibri"/>
          <w:b/>
          <w:lang w:val="en-GB"/>
        </w:rPr>
        <w:t>Course description</w:t>
      </w:r>
    </w:p>
    <w:p w:rsidR="0078610E" w:rsidRPr="0078610E" w:rsidRDefault="0078610E" w:rsidP="0078610E">
      <w:pPr>
        <w:autoSpaceDE w:val="0"/>
        <w:autoSpaceDN w:val="0"/>
        <w:adjustRightInd w:val="0"/>
        <w:jc w:val="both"/>
        <w:rPr>
          <w:rFonts w:eastAsia="Calibri"/>
          <w:b/>
          <w:lang w:val="en-GB"/>
        </w:rPr>
      </w:pPr>
    </w:p>
    <w:p w:rsidR="0078610E" w:rsidRPr="0078610E" w:rsidRDefault="0078610E" w:rsidP="0078610E">
      <w:pPr>
        <w:autoSpaceDE w:val="0"/>
        <w:autoSpaceDN w:val="0"/>
        <w:adjustRightInd w:val="0"/>
        <w:jc w:val="both"/>
        <w:rPr>
          <w:rFonts w:eastAsia="Calibri"/>
          <w:lang w:val="en-GB"/>
        </w:rPr>
      </w:pPr>
      <w:r w:rsidRPr="0078610E">
        <w:rPr>
          <w:rFonts w:eastAsia="Calibri"/>
          <w:lang w:val="en-GB"/>
        </w:rPr>
        <w:t xml:space="preserve">The one semester long lecture based course maps out the characteristics of the European Union as a legal entity and the specific features of its legal order. The main goal of the course is to provide a solid understanding of the functioning of the European Union and how its legal system works and interacts with national law. Departing from early ideas of European integration the course explains in a detailed fashion the division of competences between the EU and its Member States, the sources and nature of EU law, its relation to national laws and the available judicial mechanism to enforce EU rules. </w:t>
      </w:r>
    </w:p>
    <w:p w:rsidR="0078610E" w:rsidRPr="0078610E" w:rsidRDefault="0078610E" w:rsidP="0078610E">
      <w:pPr>
        <w:autoSpaceDE w:val="0"/>
        <w:autoSpaceDN w:val="0"/>
        <w:adjustRightInd w:val="0"/>
        <w:jc w:val="both"/>
        <w:rPr>
          <w:rFonts w:eastAsia="Calibri"/>
          <w:lang w:val="en-GB"/>
        </w:rPr>
      </w:pPr>
    </w:p>
    <w:p w:rsidR="0078610E" w:rsidRDefault="0078610E" w:rsidP="0078610E">
      <w:pPr>
        <w:autoSpaceDE w:val="0"/>
        <w:autoSpaceDN w:val="0"/>
        <w:adjustRightInd w:val="0"/>
        <w:jc w:val="both"/>
        <w:rPr>
          <w:rFonts w:eastAsia="Calibri"/>
          <w:b/>
          <w:lang w:val="en-GB"/>
        </w:rPr>
      </w:pPr>
      <w:r w:rsidRPr="0078610E">
        <w:rPr>
          <w:rFonts w:eastAsia="Calibri"/>
          <w:b/>
          <w:lang w:val="en-GB"/>
        </w:rPr>
        <w:t>Couse outline</w:t>
      </w:r>
    </w:p>
    <w:p w:rsidR="0078610E" w:rsidRDefault="0078610E" w:rsidP="0078610E">
      <w:pPr>
        <w:autoSpaceDE w:val="0"/>
        <w:autoSpaceDN w:val="0"/>
        <w:adjustRightInd w:val="0"/>
        <w:jc w:val="both"/>
        <w:rPr>
          <w:rFonts w:eastAsia="Calibri"/>
          <w:lang w:val="en-GB"/>
        </w:rPr>
      </w:pPr>
      <w:r w:rsidRPr="0078610E">
        <w:rPr>
          <w:rFonts w:eastAsia="Calibri"/>
          <w:lang w:val="en-GB"/>
        </w:rPr>
        <w:t>During the semester the following topics are</w:t>
      </w:r>
      <w:r>
        <w:rPr>
          <w:rFonts w:eastAsia="Calibri"/>
          <w:lang w:val="en-GB"/>
        </w:rPr>
        <w:t xml:space="preserve"> considered:</w:t>
      </w:r>
    </w:p>
    <w:p w:rsidR="0078610E" w:rsidRPr="0078610E" w:rsidRDefault="0078610E" w:rsidP="0078610E">
      <w:pPr>
        <w:autoSpaceDE w:val="0"/>
        <w:autoSpaceDN w:val="0"/>
        <w:adjustRightInd w:val="0"/>
        <w:jc w:val="both"/>
        <w:rPr>
          <w:rFonts w:eastAsia="Calibri"/>
          <w:lang w:val="en-GB"/>
        </w:rPr>
      </w:pPr>
    </w:p>
    <w:p w:rsidR="00496AB1" w:rsidRDefault="00D319CC" w:rsidP="00D319CC">
      <w:pPr>
        <w:pStyle w:val="Listaszerbekezds"/>
        <w:autoSpaceDE w:val="0"/>
        <w:autoSpaceDN w:val="0"/>
        <w:adjustRightInd w:val="0"/>
        <w:spacing w:after="160" w:line="259" w:lineRule="auto"/>
        <w:ind w:left="1080"/>
        <w:jc w:val="both"/>
        <w:rPr>
          <w:rFonts w:eastAsia="Calibri"/>
          <w:lang w:val="en-GB"/>
        </w:rPr>
      </w:pPr>
      <w:r w:rsidRPr="00D319CC">
        <w:rPr>
          <w:rFonts w:eastAsia="Calibri"/>
          <w:b/>
          <w:lang w:val="en-GB"/>
        </w:rPr>
        <w:t>Lecture 1-2</w:t>
      </w:r>
      <w:r>
        <w:rPr>
          <w:rFonts w:eastAsia="Calibri"/>
          <w:lang w:val="en-GB"/>
        </w:rPr>
        <w:t xml:space="preserve">  </w:t>
      </w:r>
    </w:p>
    <w:p w:rsidR="0078610E" w:rsidRDefault="00D319CC" w:rsidP="00D319CC">
      <w:pPr>
        <w:pStyle w:val="Listaszerbekezds"/>
        <w:autoSpaceDE w:val="0"/>
        <w:autoSpaceDN w:val="0"/>
        <w:adjustRightInd w:val="0"/>
        <w:spacing w:after="160" w:line="259" w:lineRule="auto"/>
        <w:ind w:left="1080"/>
        <w:jc w:val="both"/>
        <w:rPr>
          <w:rFonts w:eastAsia="Calibri"/>
          <w:lang w:val="en-GB"/>
        </w:rPr>
      </w:pPr>
      <w:r>
        <w:rPr>
          <w:rFonts w:eastAsia="Calibri"/>
          <w:lang w:val="en-GB"/>
        </w:rPr>
        <w:t>History of European integration drivers and crisis- Structure of the European Union and the Union citizenship</w:t>
      </w:r>
    </w:p>
    <w:p w:rsidR="00D319CC" w:rsidRPr="0078610E" w:rsidRDefault="00D319CC" w:rsidP="00D319CC">
      <w:pPr>
        <w:pStyle w:val="Listaszerbekezds"/>
        <w:autoSpaceDE w:val="0"/>
        <w:autoSpaceDN w:val="0"/>
        <w:adjustRightInd w:val="0"/>
        <w:spacing w:after="160" w:line="259" w:lineRule="auto"/>
        <w:ind w:left="1080"/>
        <w:jc w:val="both"/>
        <w:rPr>
          <w:rFonts w:eastAsia="Calibri"/>
          <w:lang w:val="en-GB"/>
        </w:rPr>
      </w:pPr>
    </w:p>
    <w:p w:rsidR="00496AB1" w:rsidRDefault="00D319CC" w:rsidP="00D319CC">
      <w:pPr>
        <w:pStyle w:val="Listaszerbekezds"/>
        <w:autoSpaceDE w:val="0"/>
        <w:autoSpaceDN w:val="0"/>
        <w:adjustRightInd w:val="0"/>
        <w:spacing w:after="160" w:line="259" w:lineRule="auto"/>
        <w:ind w:left="1080"/>
        <w:jc w:val="both"/>
        <w:rPr>
          <w:rFonts w:eastAsia="Calibri"/>
          <w:lang w:val="en-GB"/>
        </w:rPr>
      </w:pPr>
      <w:r w:rsidRPr="00D319CC">
        <w:rPr>
          <w:rFonts w:eastAsia="Calibri"/>
          <w:b/>
          <w:lang w:val="en-GB"/>
        </w:rPr>
        <w:t>Lecture 3-4</w:t>
      </w:r>
      <w:r>
        <w:rPr>
          <w:rFonts w:eastAsia="Calibri"/>
          <w:lang w:val="en-GB"/>
        </w:rPr>
        <w:t xml:space="preserve"> </w:t>
      </w:r>
    </w:p>
    <w:p w:rsidR="0078610E" w:rsidRDefault="00D319CC" w:rsidP="00D319CC">
      <w:pPr>
        <w:pStyle w:val="Listaszerbekezds"/>
        <w:autoSpaceDE w:val="0"/>
        <w:autoSpaceDN w:val="0"/>
        <w:adjustRightInd w:val="0"/>
        <w:spacing w:after="160" w:line="259" w:lineRule="auto"/>
        <w:ind w:left="1080"/>
        <w:jc w:val="both"/>
        <w:rPr>
          <w:rFonts w:eastAsia="Calibri"/>
          <w:lang w:val="en-GB"/>
        </w:rPr>
      </w:pPr>
      <w:r>
        <w:rPr>
          <w:rFonts w:eastAsia="Calibri"/>
          <w:lang w:val="en-GB"/>
        </w:rPr>
        <w:t>Institutions, bodies and agencies of the</w:t>
      </w:r>
      <w:r w:rsidR="0078610E" w:rsidRPr="0078610E">
        <w:rPr>
          <w:rFonts w:eastAsia="Calibri"/>
          <w:lang w:val="en-GB"/>
        </w:rPr>
        <w:t xml:space="preserve"> European Union </w:t>
      </w:r>
      <w:proofErr w:type="gramStart"/>
      <w:r>
        <w:rPr>
          <w:rFonts w:eastAsia="Calibri"/>
          <w:lang w:val="en-GB"/>
        </w:rPr>
        <w:t>( Council</w:t>
      </w:r>
      <w:proofErr w:type="gramEnd"/>
      <w:r>
        <w:rPr>
          <w:rFonts w:eastAsia="Calibri"/>
          <w:lang w:val="en-GB"/>
        </w:rPr>
        <w:t>, Parliament, Commission)</w:t>
      </w:r>
    </w:p>
    <w:p w:rsidR="00D319CC" w:rsidRPr="0078610E" w:rsidRDefault="00D319CC" w:rsidP="00D319CC">
      <w:pPr>
        <w:pStyle w:val="Listaszerbekezds"/>
        <w:autoSpaceDE w:val="0"/>
        <w:autoSpaceDN w:val="0"/>
        <w:adjustRightInd w:val="0"/>
        <w:spacing w:after="160" w:line="259" w:lineRule="auto"/>
        <w:ind w:left="1080"/>
        <w:jc w:val="both"/>
        <w:rPr>
          <w:rFonts w:eastAsia="Calibri"/>
          <w:lang w:val="en-GB"/>
        </w:rPr>
      </w:pPr>
    </w:p>
    <w:p w:rsidR="00496AB1" w:rsidRDefault="00D319CC" w:rsidP="00D319CC">
      <w:pPr>
        <w:pStyle w:val="Listaszerbekezds"/>
        <w:autoSpaceDE w:val="0"/>
        <w:autoSpaceDN w:val="0"/>
        <w:adjustRightInd w:val="0"/>
        <w:spacing w:after="160" w:line="259" w:lineRule="auto"/>
        <w:ind w:left="1080"/>
        <w:jc w:val="both"/>
        <w:rPr>
          <w:rFonts w:eastAsia="Calibri"/>
          <w:b/>
          <w:lang w:val="en-GB"/>
        </w:rPr>
      </w:pPr>
      <w:r w:rsidRPr="00D319CC">
        <w:rPr>
          <w:rFonts w:eastAsia="Calibri"/>
          <w:b/>
          <w:lang w:val="en-GB"/>
        </w:rPr>
        <w:t>Lection 5-6</w:t>
      </w:r>
    </w:p>
    <w:p w:rsidR="0078610E" w:rsidRDefault="00D319CC" w:rsidP="00D319CC">
      <w:pPr>
        <w:pStyle w:val="Listaszerbekezds"/>
        <w:autoSpaceDE w:val="0"/>
        <w:autoSpaceDN w:val="0"/>
        <w:adjustRightInd w:val="0"/>
        <w:spacing w:after="160" w:line="259" w:lineRule="auto"/>
        <w:ind w:left="1080"/>
        <w:jc w:val="both"/>
        <w:rPr>
          <w:rFonts w:eastAsia="Calibri"/>
          <w:lang w:val="en-GB"/>
        </w:rPr>
      </w:pPr>
      <w:r>
        <w:rPr>
          <w:rFonts w:eastAsia="Calibri"/>
          <w:lang w:val="en-GB"/>
        </w:rPr>
        <w:t>Legislative procedures and decision making in the EU, Sources of EU law.</w:t>
      </w:r>
    </w:p>
    <w:p w:rsidR="00D319CC" w:rsidRPr="0078610E" w:rsidRDefault="00D319CC" w:rsidP="00D319CC">
      <w:pPr>
        <w:pStyle w:val="Listaszerbekezds"/>
        <w:autoSpaceDE w:val="0"/>
        <w:autoSpaceDN w:val="0"/>
        <w:adjustRightInd w:val="0"/>
        <w:spacing w:after="160" w:line="259" w:lineRule="auto"/>
        <w:ind w:left="1080"/>
        <w:jc w:val="both"/>
        <w:rPr>
          <w:rFonts w:eastAsia="Calibri"/>
          <w:lang w:val="en-GB"/>
        </w:rPr>
      </w:pPr>
    </w:p>
    <w:p w:rsidR="00496AB1" w:rsidRDefault="00D319CC" w:rsidP="00D319CC">
      <w:pPr>
        <w:pStyle w:val="Listaszerbekezds"/>
        <w:autoSpaceDE w:val="0"/>
        <w:autoSpaceDN w:val="0"/>
        <w:adjustRightInd w:val="0"/>
        <w:spacing w:after="160" w:line="259" w:lineRule="auto"/>
        <w:ind w:left="1080"/>
        <w:jc w:val="both"/>
        <w:rPr>
          <w:rFonts w:eastAsia="Calibri"/>
          <w:b/>
          <w:lang w:val="en-GB"/>
        </w:rPr>
      </w:pPr>
      <w:r w:rsidRPr="00D319CC">
        <w:rPr>
          <w:rFonts w:eastAsia="Calibri"/>
          <w:b/>
          <w:lang w:val="en-GB"/>
        </w:rPr>
        <w:t>Lection 7-8</w:t>
      </w:r>
    </w:p>
    <w:p w:rsidR="0078610E" w:rsidRDefault="00D319CC" w:rsidP="00D319CC">
      <w:pPr>
        <w:pStyle w:val="Listaszerbekezds"/>
        <w:autoSpaceDE w:val="0"/>
        <w:autoSpaceDN w:val="0"/>
        <w:adjustRightInd w:val="0"/>
        <w:spacing w:after="160" w:line="259" w:lineRule="auto"/>
        <w:ind w:left="1080"/>
        <w:jc w:val="both"/>
        <w:rPr>
          <w:rFonts w:eastAsia="Calibri"/>
          <w:lang w:val="en-GB"/>
        </w:rPr>
      </w:pPr>
      <w:r w:rsidRPr="00D319CC">
        <w:rPr>
          <w:rFonts w:eastAsia="Calibri"/>
          <w:lang w:val="en-GB"/>
        </w:rPr>
        <w:t>Fund</w:t>
      </w:r>
      <w:r>
        <w:rPr>
          <w:rFonts w:eastAsia="Calibri"/>
          <w:lang w:val="en-GB"/>
        </w:rPr>
        <w:t xml:space="preserve">amental values of the European </w:t>
      </w:r>
      <w:r w:rsidRPr="00D319CC">
        <w:rPr>
          <w:rFonts w:eastAsia="Calibri"/>
          <w:lang w:val="en-GB"/>
        </w:rPr>
        <w:t>Union- Competences of the European Union and principles governing the institutions</w:t>
      </w:r>
      <w:r w:rsidR="00496AB1">
        <w:rPr>
          <w:rFonts w:eastAsia="Calibri"/>
          <w:lang w:val="en-GB"/>
        </w:rPr>
        <w:t>.</w:t>
      </w:r>
    </w:p>
    <w:p w:rsidR="00365D6F" w:rsidRPr="00D319CC" w:rsidRDefault="00365D6F" w:rsidP="00D319CC">
      <w:pPr>
        <w:pStyle w:val="Listaszerbekezds"/>
        <w:autoSpaceDE w:val="0"/>
        <w:autoSpaceDN w:val="0"/>
        <w:adjustRightInd w:val="0"/>
        <w:spacing w:after="160" w:line="259" w:lineRule="auto"/>
        <w:ind w:left="1080"/>
        <w:jc w:val="both"/>
        <w:rPr>
          <w:rFonts w:eastAsia="Calibri"/>
          <w:lang w:val="en-GB"/>
        </w:rPr>
      </w:pPr>
    </w:p>
    <w:p w:rsidR="00496AB1" w:rsidRDefault="00496AB1" w:rsidP="00D319CC">
      <w:pPr>
        <w:pStyle w:val="Listaszerbekezds"/>
        <w:autoSpaceDE w:val="0"/>
        <w:autoSpaceDN w:val="0"/>
        <w:adjustRightInd w:val="0"/>
        <w:spacing w:after="160" w:line="259" w:lineRule="auto"/>
        <w:ind w:left="1080"/>
        <w:jc w:val="both"/>
        <w:rPr>
          <w:rFonts w:eastAsia="Calibri"/>
          <w:b/>
          <w:lang w:val="en-GB"/>
        </w:rPr>
      </w:pPr>
      <w:r>
        <w:rPr>
          <w:rFonts w:eastAsia="Calibri"/>
          <w:b/>
          <w:lang w:val="en-GB"/>
        </w:rPr>
        <w:t>Lecture 9-10</w:t>
      </w:r>
    </w:p>
    <w:p w:rsidR="0078610E" w:rsidRDefault="00365D6F" w:rsidP="00D319CC">
      <w:pPr>
        <w:pStyle w:val="Listaszerbekezds"/>
        <w:autoSpaceDE w:val="0"/>
        <w:autoSpaceDN w:val="0"/>
        <w:adjustRightInd w:val="0"/>
        <w:spacing w:after="160" w:line="259" w:lineRule="auto"/>
        <w:ind w:left="1080"/>
        <w:jc w:val="both"/>
        <w:rPr>
          <w:rFonts w:eastAsia="Calibri"/>
          <w:lang w:val="en-GB"/>
        </w:rPr>
      </w:pPr>
      <w:r>
        <w:rPr>
          <w:rFonts w:eastAsia="Calibri"/>
          <w:lang w:val="en-GB"/>
        </w:rPr>
        <w:t>Constitutional principles of EU law Fundamental Rights Protection in the EU.</w:t>
      </w:r>
    </w:p>
    <w:p w:rsidR="00496AB1" w:rsidRDefault="00496AB1" w:rsidP="00D319CC">
      <w:pPr>
        <w:pStyle w:val="Listaszerbekezds"/>
        <w:autoSpaceDE w:val="0"/>
        <w:autoSpaceDN w:val="0"/>
        <w:adjustRightInd w:val="0"/>
        <w:spacing w:after="160" w:line="259" w:lineRule="auto"/>
        <w:ind w:left="1080"/>
        <w:jc w:val="both"/>
        <w:rPr>
          <w:rFonts w:eastAsia="Calibri"/>
          <w:lang w:val="en-GB"/>
        </w:rPr>
      </w:pPr>
    </w:p>
    <w:p w:rsidR="00496AB1" w:rsidRPr="00496AB1" w:rsidRDefault="00496AB1" w:rsidP="00D319CC">
      <w:pPr>
        <w:pStyle w:val="Listaszerbekezds"/>
        <w:autoSpaceDE w:val="0"/>
        <w:autoSpaceDN w:val="0"/>
        <w:adjustRightInd w:val="0"/>
        <w:spacing w:after="160" w:line="259" w:lineRule="auto"/>
        <w:ind w:left="1080"/>
        <w:jc w:val="both"/>
        <w:rPr>
          <w:rFonts w:eastAsia="Calibri"/>
          <w:b/>
          <w:lang w:val="en-GB"/>
        </w:rPr>
      </w:pPr>
      <w:r w:rsidRPr="00496AB1">
        <w:rPr>
          <w:rFonts w:eastAsia="Calibri"/>
          <w:b/>
          <w:lang w:val="en-GB"/>
        </w:rPr>
        <w:t>Lecture 11-12</w:t>
      </w:r>
    </w:p>
    <w:p w:rsidR="0078610E" w:rsidRDefault="00496AB1" w:rsidP="00496AB1">
      <w:pPr>
        <w:pStyle w:val="Listaszerbekezds"/>
        <w:autoSpaceDE w:val="0"/>
        <w:autoSpaceDN w:val="0"/>
        <w:adjustRightInd w:val="0"/>
        <w:spacing w:after="160" w:line="259" w:lineRule="auto"/>
        <w:ind w:left="1080"/>
        <w:jc w:val="both"/>
        <w:rPr>
          <w:rFonts w:eastAsia="Calibri"/>
          <w:lang w:val="en-GB"/>
        </w:rPr>
      </w:pPr>
      <w:r>
        <w:rPr>
          <w:rFonts w:eastAsia="Calibri"/>
          <w:lang w:val="en-GB"/>
        </w:rPr>
        <w:t>Enforcement of EU law I.-national level, the preliminary reference procedure, Enforcement of EU law II</w:t>
      </w:r>
      <w:proofErr w:type="gramStart"/>
      <w:r>
        <w:rPr>
          <w:rFonts w:eastAsia="Calibri"/>
          <w:lang w:val="en-GB"/>
        </w:rPr>
        <w:t>.-</w:t>
      </w:r>
      <w:proofErr w:type="gramEnd"/>
      <w:r>
        <w:rPr>
          <w:rFonts w:eastAsia="Calibri"/>
          <w:lang w:val="en-GB"/>
        </w:rPr>
        <w:t xml:space="preserve"> CJEU level judicial review part</w:t>
      </w:r>
    </w:p>
    <w:p w:rsidR="00496AB1" w:rsidRDefault="00496AB1" w:rsidP="00496AB1">
      <w:pPr>
        <w:pStyle w:val="Listaszerbekezds"/>
        <w:autoSpaceDE w:val="0"/>
        <w:autoSpaceDN w:val="0"/>
        <w:adjustRightInd w:val="0"/>
        <w:spacing w:after="160" w:line="259" w:lineRule="auto"/>
        <w:ind w:left="1080"/>
        <w:jc w:val="both"/>
        <w:rPr>
          <w:rFonts w:eastAsia="Calibri"/>
          <w:lang w:val="en-GB"/>
        </w:rPr>
      </w:pPr>
    </w:p>
    <w:p w:rsidR="00496AB1" w:rsidRPr="00496AB1" w:rsidRDefault="00496AB1" w:rsidP="00496AB1">
      <w:pPr>
        <w:pStyle w:val="Listaszerbekezds"/>
        <w:autoSpaceDE w:val="0"/>
        <w:autoSpaceDN w:val="0"/>
        <w:adjustRightInd w:val="0"/>
        <w:spacing w:after="160" w:line="259" w:lineRule="auto"/>
        <w:ind w:left="1080"/>
        <w:jc w:val="both"/>
        <w:rPr>
          <w:rFonts w:eastAsia="Calibri"/>
          <w:b/>
          <w:lang w:val="en-GB"/>
        </w:rPr>
      </w:pPr>
      <w:r w:rsidRPr="00496AB1">
        <w:rPr>
          <w:rFonts w:eastAsia="Calibri"/>
          <w:b/>
          <w:lang w:val="en-GB"/>
        </w:rPr>
        <w:t>Lecture 13-14</w:t>
      </w:r>
    </w:p>
    <w:p w:rsidR="0078610E" w:rsidRPr="00496AB1" w:rsidRDefault="00496AB1" w:rsidP="00496AB1">
      <w:pPr>
        <w:pStyle w:val="Listaszerbekezds"/>
        <w:autoSpaceDE w:val="0"/>
        <w:autoSpaceDN w:val="0"/>
        <w:adjustRightInd w:val="0"/>
        <w:spacing w:after="160" w:line="259" w:lineRule="auto"/>
        <w:ind w:left="1080"/>
        <w:jc w:val="both"/>
        <w:rPr>
          <w:rFonts w:eastAsia="Calibri"/>
          <w:lang w:val="en-GB"/>
        </w:rPr>
      </w:pPr>
      <w:r>
        <w:rPr>
          <w:rFonts w:eastAsia="Calibri"/>
          <w:lang w:val="en-GB"/>
        </w:rPr>
        <w:t>Online consultation</w:t>
      </w:r>
    </w:p>
    <w:p w:rsidR="00496AB1" w:rsidRDefault="00496AB1" w:rsidP="003D242D">
      <w:pPr>
        <w:pStyle w:val="Default"/>
        <w:rPr>
          <w:rFonts w:ascii="Times New Roman" w:hAnsi="Times New Roman" w:cs="Times New Roman"/>
          <w:b/>
          <w:bCs/>
        </w:rPr>
      </w:pPr>
    </w:p>
    <w:p w:rsidR="00C914A3" w:rsidRDefault="003D242D" w:rsidP="003D242D">
      <w:pPr>
        <w:pStyle w:val="Default"/>
        <w:rPr>
          <w:rFonts w:ascii="Times New Roman" w:hAnsi="Times New Roman" w:cs="Times New Roman"/>
          <w:b/>
          <w:bCs/>
        </w:rPr>
      </w:pPr>
      <w:proofErr w:type="spellStart"/>
      <w:r>
        <w:rPr>
          <w:rFonts w:ascii="Times New Roman" w:hAnsi="Times New Roman" w:cs="Times New Roman"/>
          <w:b/>
          <w:bCs/>
        </w:rPr>
        <w:t>Assessment</w:t>
      </w:r>
      <w:proofErr w:type="spellEnd"/>
    </w:p>
    <w:p w:rsidR="003D242D" w:rsidRDefault="003D242D" w:rsidP="003D242D">
      <w:pPr>
        <w:pStyle w:val="Default"/>
        <w:rPr>
          <w:rFonts w:ascii="Times New Roman" w:hAnsi="Times New Roman" w:cs="Times New Roman"/>
          <w:b/>
          <w:bCs/>
        </w:rPr>
      </w:pPr>
    </w:p>
    <w:p w:rsidR="003D242D" w:rsidRPr="003D242D" w:rsidRDefault="003D242D" w:rsidP="003D242D">
      <w:pPr>
        <w:pStyle w:val="Default"/>
        <w:rPr>
          <w:rFonts w:ascii="Times New Roman" w:hAnsi="Times New Roman" w:cs="Times New Roman"/>
          <w:bCs/>
        </w:rPr>
      </w:pPr>
      <w:proofErr w:type="spellStart"/>
      <w:r>
        <w:rPr>
          <w:rFonts w:ascii="Times New Roman" w:hAnsi="Times New Roman" w:cs="Times New Roman"/>
          <w:bCs/>
        </w:rPr>
        <w:t>Written</w:t>
      </w:r>
      <w:proofErr w:type="spellEnd"/>
      <w:r>
        <w:rPr>
          <w:rFonts w:ascii="Times New Roman" w:hAnsi="Times New Roman" w:cs="Times New Roman"/>
          <w:bCs/>
        </w:rPr>
        <w:t xml:space="preserve"> </w:t>
      </w:r>
      <w:proofErr w:type="spellStart"/>
      <w:r>
        <w:rPr>
          <w:rFonts w:ascii="Times New Roman" w:hAnsi="Times New Roman" w:cs="Times New Roman"/>
          <w:bCs/>
        </w:rPr>
        <w:t>exam</w:t>
      </w:r>
      <w:proofErr w:type="spellEnd"/>
      <w:r>
        <w:rPr>
          <w:rFonts w:ascii="Times New Roman" w:hAnsi="Times New Roman" w:cs="Times New Roman"/>
          <w:bCs/>
        </w:rPr>
        <w:t>.</w:t>
      </w:r>
      <w:bookmarkStart w:id="0" w:name="_GoBack"/>
      <w:bookmarkEnd w:id="0"/>
    </w:p>
    <w:sectPr w:rsidR="003D242D" w:rsidRPr="003D242D" w:rsidSect="003638DE">
      <w:headerReference w:type="default" r:id="rId7"/>
      <w:footerReference w:type="default" r:id="rId8"/>
      <w:headerReference w:type="first" r:id="rId9"/>
      <w:footerReference w:type="first" r:id="rId10"/>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D14" w:rsidRDefault="00E33D14" w:rsidP="00B267E0">
      <w:r>
        <w:separator/>
      </w:r>
    </w:p>
  </w:endnote>
  <w:endnote w:type="continuationSeparator" w:id="0">
    <w:p w:rsidR="00E33D14" w:rsidRDefault="00E33D14"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D14" w:rsidRDefault="00E33D14" w:rsidP="00B267E0">
      <w:r>
        <w:separator/>
      </w:r>
    </w:p>
  </w:footnote>
  <w:footnote w:type="continuationSeparator" w:id="0">
    <w:p w:rsidR="00E33D14" w:rsidRDefault="00E33D14" w:rsidP="00B2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67" w:rsidRPr="00FA0CAC" w:rsidRDefault="001F5012" w:rsidP="00DC6E67">
    <w:pPr>
      <w:tabs>
        <w:tab w:val="left" w:pos="142"/>
        <w:tab w:val="center" w:pos="4536"/>
        <w:tab w:val="right" w:pos="9072"/>
      </w:tabs>
      <w:rPr>
        <w:rFonts w:ascii="Cambria" w:eastAsia="MS Mincho" w:hAnsi="Cambria"/>
      </w:rPr>
    </w:pPr>
    <w:r>
      <w:t xml:space="preserve"> </w:t>
    </w:r>
    <w:r w:rsidR="00DC6E67" w:rsidRPr="00FA0CAC">
      <w:rPr>
        <w:rFonts w:ascii="Cambria" w:eastAsia="MS Mincho" w:hAnsi="Cambria"/>
        <w:noProof/>
        <w:lang w:eastAsia="hu-HU"/>
      </w:rPr>
      <w:drawing>
        <wp:anchor distT="0" distB="0" distL="114300" distR="114300" simplePos="0" relativeHeight="251663872" behindDoc="0" locked="0" layoutInCell="1" allowOverlap="1" wp14:anchorId="01E7738D" wp14:editId="2748949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E67" w:rsidRPr="00FA0CAC" w:rsidRDefault="00DC6E67" w:rsidP="00DC6E67">
    <w:pPr>
      <w:widowControl w:val="0"/>
      <w:autoSpaceDE w:val="0"/>
      <w:autoSpaceDN w:val="0"/>
      <w:adjustRightInd w:val="0"/>
      <w:spacing w:line="288" w:lineRule="auto"/>
      <w:jc w:val="right"/>
      <w:textAlignment w:val="center"/>
      <w:rPr>
        <w:rFonts w:ascii="GaramondBookHun" w:eastAsia="MS Mincho" w:hAnsi="GaramondBookHun" w:cs="GaramondBoldHun"/>
        <w:b/>
        <w:bCs/>
        <w:color w:val="002626"/>
        <w:sz w:val="16"/>
        <w:szCs w:val="16"/>
        <w:lang w:val="en-GB"/>
      </w:rPr>
    </w:pPr>
    <w:r w:rsidRPr="00FA0CAC">
      <w:rPr>
        <w:rFonts w:ascii="GaramondBookHun" w:eastAsia="MS Mincho" w:hAnsi="GaramondBookHun" w:cs="GaramondBoldHun"/>
        <w:b/>
        <w:bCs/>
        <w:color w:val="002626"/>
        <w:sz w:val="16"/>
        <w:szCs w:val="16"/>
        <w:lang w:val="en-GB"/>
      </w:rPr>
      <w:tab/>
    </w:r>
  </w:p>
  <w:p w:rsidR="00DC6E67" w:rsidRPr="00FA0CAC" w:rsidRDefault="00DC6E67" w:rsidP="00DC6E67">
    <w:pPr>
      <w:widowControl w:val="0"/>
      <w:autoSpaceDE w:val="0"/>
      <w:autoSpaceDN w:val="0"/>
      <w:adjustRightInd w:val="0"/>
      <w:spacing w:line="288" w:lineRule="auto"/>
      <w:jc w:val="right"/>
      <w:textAlignment w:val="center"/>
      <w:rPr>
        <w:rFonts w:ascii="Garamond" w:hAnsi="Garamond"/>
        <w:color w:val="3B3C3B"/>
        <w:sz w:val="16"/>
        <w:szCs w:val="16"/>
      </w:rPr>
    </w:pPr>
    <w:r w:rsidRPr="00FA0CAC">
      <w:rPr>
        <w:rFonts w:ascii="Garamond" w:hAnsi="Garamond"/>
        <w:color w:val="3B3C3B"/>
        <w:sz w:val="16"/>
        <w:szCs w:val="16"/>
      </w:rPr>
      <w:t>International Relations Office</w:t>
    </w:r>
  </w:p>
  <w:p w:rsidR="00DC6E67" w:rsidRPr="00FA0CAC" w:rsidRDefault="00DC6E67" w:rsidP="00DC6E67">
    <w:pPr>
      <w:widowControl w:val="0"/>
      <w:autoSpaceDE w:val="0"/>
      <w:autoSpaceDN w:val="0"/>
      <w:adjustRightInd w:val="0"/>
      <w:spacing w:line="288" w:lineRule="auto"/>
      <w:jc w:val="right"/>
      <w:textAlignment w:val="center"/>
      <w:rPr>
        <w:rFonts w:ascii="Garamond" w:hAnsi="Garamond" w:cs="GaramondLightHun"/>
        <w:color w:val="3B3C3B"/>
        <w:sz w:val="16"/>
        <w:szCs w:val="16"/>
      </w:rPr>
    </w:pPr>
    <w:proofErr w:type="spellStart"/>
    <w:proofErr w:type="gramStart"/>
    <w:r w:rsidRPr="00FA0CAC">
      <w:rPr>
        <w:rFonts w:ascii="Garamond" w:hAnsi="Garamond" w:cs="GaramondLightHun"/>
        <w:color w:val="3B3C3B"/>
        <w:sz w:val="16"/>
        <w:szCs w:val="16"/>
      </w:rPr>
      <w:t>tel</w:t>
    </w:r>
    <w:proofErr w:type="spellEnd"/>
    <w:proofErr w:type="gramEnd"/>
    <w:r w:rsidRPr="00FA0CAC">
      <w:rPr>
        <w:rFonts w:ascii="Garamond" w:hAnsi="Garamond" w:cs="GaramondLightHun"/>
        <w:color w:val="3B3C3B"/>
        <w:sz w:val="16"/>
        <w:szCs w:val="16"/>
      </w:rPr>
      <w:t xml:space="preserve"> +36 1 483 8015</w:t>
    </w:r>
  </w:p>
  <w:p w:rsidR="00DC6E67" w:rsidRPr="00FA0CAC" w:rsidRDefault="00DC6E67" w:rsidP="00DC6E67">
    <w:pPr>
      <w:widowControl w:val="0"/>
      <w:autoSpaceDE w:val="0"/>
      <w:autoSpaceDN w:val="0"/>
      <w:adjustRightInd w:val="0"/>
      <w:spacing w:line="288" w:lineRule="auto"/>
      <w:jc w:val="right"/>
      <w:textAlignment w:val="center"/>
      <w:rPr>
        <w:rFonts w:ascii="Garamond" w:hAnsi="Garamond" w:cs="GaramondLightHun"/>
        <w:color w:val="3B3C3B"/>
        <w:sz w:val="16"/>
        <w:szCs w:val="16"/>
      </w:rPr>
    </w:pPr>
    <w:r w:rsidRPr="00FA0CAC">
      <w:rPr>
        <w:rFonts w:ascii="Garamond" w:hAnsi="Garamond" w:cs="GaramondLightHun"/>
        <w:color w:val="3B3C3B"/>
        <w:sz w:val="16"/>
        <w:szCs w:val="16"/>
      </w:rPr>
      <w:t>incoming@ajk.elte.hu</w:t>
    </w:r>
  </w:p>
  <w:p w:rsidR="0093764C" w:rsidRPr="00CF0826" w:rsidRDefault="00DC6E67" w:rsidP="00A15360">
    <w:pPr>
      <w:pStyle w:val="BasicParagraph"/>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67" w:rsidRPr="00FA0CAC" w:rsidRDefault="00DC6E67" w:rsidP="00DC6E67">
    <w:pPr>
      <w:tabs>
        <w:tab w:val="left" w:pos="142"/>
        <w:tab w:val="center" w:pos="4536"/>
        <w:tab w:val="right" w:pos="9072"/>
      </w:tabs>
      <w:rPr>
        <w:rFonts w:ascii="Cambria" w:eastAsia="MS Mincho" w:hAnsi="Cambria"/>
      </w:rPr>
    </w:pPr>
    <w:r w:rsidRPr="00FA0CAC">
      <w:rPr>
        <w:rFonts w:ascii="Cambria" w:eastAsia="MS Mincho" w:hAnsi="Cambria"/>
        <w:noProof/>
        <w:lang w:eastAsia="hu-HU"/>
      </w:rPr>
      <w:drawing>
        <wp:anchor distT="0" distB="0" distL="114300" distR="114300" simplePos="0" relativeHeight="251661824" behindDoc="0" locked="0" layoutInCell="1" allowOverlap="1" wp14:anchorId="01E7738D" wp14:editId="2748949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E67" w:rsidRPr="00FA0CAC" w:rsidRDefault="00DC6E67" w:rsidP="00DC6E67">
    <w:pPr>
      <w:widowControl w:val="0"/>
      <w:autoSpaceDE w:val="0"/>
      <w:autoSpaceDN w:val="0"/>
      <w:adjustRightInd w:val="0"/>
      <w:spacing w:line="288" w:lineRule="auto"/>
      <w:jc w:val="right"/>
      <w:textAlignment w:val="center"/>
      <w:rPr>
        <w:rFonts w:ascii="GaramondBookHun" w:eastAsia="MS Mincho" w:hAnsi="GaramondBookHun" w:cs="GaramondBoldHun"/>
        <w:b/>
        <w:bCs/>
        <w:color w:val="002626"/>
        <w:sz w:val="16"/>
        <w:szCs w:val="16"/>
        <w:lang w:val="en-GB"/>
      </w:rPr>
    </w:pPr>
    <w:r w:rsidRPr="00FA0CAC">
      <w:rPr>
        <w:rFonts w:ascii="GaramondBookHun" w:eastAsia="MS Mincho" w:hAnsi="GaramondBookHun" w:cs="GaramondBoldHun"/>
        <w:b/>
        <w:bCs/>
        <w:color w:val="002626"/>
        <w:sz w:val="16"/>
        <w:szCs w:val="16"/>
        <w:lang w:val="en-GB"/>
      </w:rPr>
      <w:tab/>
    </w:r>
  </w:p>
  <w:p w:rsidR="00DC6E67" w:rsidRPr="00FA0CAC" w:rsidRDefault="00DC6E67" w:rsidP="00DC6E67">
    <w:pPr>
      <w:widowControl w:val="0"/>
      <w:autoSpaceDE w:val="0"/>
      <w:autoSpaceDN w:val="0"/>
      <w:adjustRightInd w:val="0"/>
      <w:spacing w:line="288" w:lineRule="auto"/>
      <w:jc w:val="right"/>
      <w:textAlignment w:val="center"/>
      <w:rPr>
        <w:rFonts w:ascii="Garamond" w:hAnsi="Garamond"/>
        <w:color w:val="3B3C3B"/>
        <w:sz w:val="16"/>
        <w:szCs w:val="16"/>
      </w:rPr>
    </w:pPr>
    <w:r w:rsidRPr="00FA0CAC">
      <w:rPr>
        <w:rFonts w:ascii="Garamond" w:hAnsi="Garamond"/>
        <w:color w:val="3B3C3B"/>
        <w:sz w:val="16"/>
        <w:szCs w:val="16"/>
      </w:rPr>
      <w:t>International Relations Office</w:t>
    </w:r>
  </w:p>
  <w:p w:rsidR="00DC6E67" w:rsidRPr="00FA0CAC" w:rsidRDefault="00DC6E67" w:rsidP="00DC6E67">
    <w:pPr>
      <w:widowControl w:val="0"/>
      <w:autoSpaceDE w:val="0"/>
      <w:autoSpaceDN w:val="0"/>
      <w:adjustRightInd w:val="0"/>
      <w:spacing w:line="288" w:lineRule="auto"/>
      <w:jc w:val="right"/>
      <w:textAlignment w:val="center"/>
      <w:rPr>
        <w:rFonts w:ascii="Garamond" w:hAnsi="Garamond" w:cs="GaramondLightHun"/>
        <w:color w:val="3B3C3B"/>
        <w:sz w:val="16"/>
        <w:szCs w:val="16"/>
      </w:rPr>
    </w:pPr>
    <w:proofErr w:type="spellStart"/>
    <w:proofErr w:type="gramStart"/>
    <w:r w:rsidRPr="00FA0CAC">
      <w:rPr>
        <w:rFonts w:ascii="Garamond" w:hAnsi="Garamond" w:cs="GaramondLightHun"/>
        <w:color w:val="3B3C3B"/>
        <w:sz w:val="16"/>
        <w:szCs w:val="16"/>
      </w:rPr>
      <w:t>tel</w:t>
    </w:r>
    <w:proofErr w:type="spellEnd"/>
    <w:proofErr w:type="gramEnd"/>
    <w:r w:rsidRPr="00FA0CAC">
      <w:rPr>
        <w:rFonts w:ascii="Garamond" w:hAnsi="Garamond" w:cs="GaramondLightHun"/>
        <w:color w:val="3B3C3B"/>
        <w:sz w:val="16"/>
        <w:szCs w:val="16"/>
      </w:rPr>
      <w:t xml:space="preserve"> +36 1 483 8015</w:t>
    </w:r>
  </w:p>
  <w:p w:rsidR="00DC6E67" w:rsidRPr="00FA0CAC" w:rsidRDefault="00DC6E67" w:rsidP="00DC6E67">
    <w:pPr>
      <w:widowControl w:val="0"/>
      <w:autoSpaceDE w:val="0"/>
      <w:autoSpaceDN w:val="0"/>
      <w:adjustRightInd w:val="0"/>
      <w:spacing w:line="288" w:lineRule="auto"/>
      <w:jc w:val="right"/>
      <w:textAlignment w:val="center"/>
      <w:rPr>
        <w:rFonts w:ascii="Garamond" w:hAnsi="Garamond" w:cs="GaramondLightHun"/>
        <w:color w:val="3B3C3B"/>
        <w:sz w:val="16"/>
        <w:szCs w:val="16"/>
      </w:rPr>
    </w:pPr>
    <w:r w:rsidRPr="00FA0CAC">
      <w:rPr>
        <w:rFonts w:ascii="Garamond" w:hAnsi="Garamond" w:cs="GaramondLightHun"/>
        <w:color w:val="3B3C3B"/>
        <w:sz w:val="16"/>
        <w:szCs w:val="16"/>
      </w:rPr>
      <w:t>incoming@ajk.elte.hu</w:t>
    </w:r>
  </w:p>
  <w:p w:rsidR="0093764C" w:rsidRPr="00A375A3" w:rsidRDefault="00DC6E67" w:rsidP="0093764C">
    <w:pPr>
      <w:pStyle w:val="lfej"/>
      <w:tabs>
        <w:tab w:val="left" w:pos="14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88A"/>
    <w:multiLevelType w:val="hybridMultilevel"/>
    <w:tmpl w:val="3F04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E612FE0"/>
    <w:multiLevelType w:val="hybridMultilevel"/>
    <w:tmpl w:val="16D67972"/>
    <w:lvl w:ilvl="0" w:tplc="CBAE7558">
      <w:start w:val="9"/>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6BB0BDB"/>
    <w:multiLevelType w:val="hybridMultilevel"/>
    <w:tmpl w:val="E17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07EA1"/>
    <w:multiLevelType w:val="hybridMultilevel"/>
    <w:tmpl w:val="6D80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C6AC2"/>
    <w:multiLevelType w:val="hybridMultilevel"/>
    <w:tmpl w:val="AA96F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DD46A13"/>
    <w:multiLevelType w:val="hybridMultilevel"/>
    <w:tmpl w:val="A678F6F2"/>
    <w:lvl w:ilvl="0" w:tplc="2CC4A3A0">
      <w:start w:val="1"/>
      <w:numFmt w:val="decimal"/>
      <w:lvlText w:val="%1."/>
      <w:lvlJc w:val="left"/>
      <w:pPr>
        <w:ind w:left="1068" w:hanging="360"/>
      </w:pPr>
      <w:rPr>
        <w:rFonts w:asciiTheme="minorHAnsi" w:eastAsia="Calibri" w:hAnsiTheme="minorHAnsi" w:cstheme="minorBidi"/>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E3"/>
    <w:rsid w:val="000D0DD6"/>
    <w:rsid w:val="000D64FA"/>
    <w:rsid w:val="000F4C47"/>
    <w:rsid w:val="00100DD9"/>
    <w:rsid w:val="00114A03"/>
    <w:rsid w:val="00170FD5"/>
    <w:rsid w:val="0018401A"/>
    <w:rsid w:val="001A14FD"/>
    <w:rsid w:val="001F5012"/>
    <w:rsid w:val="00223741"/>
    <w:rsid w:val="00294CD6"/>
    <w:rsid w:val="002B4EEE"/>
    <w:rsid w:val="00303561"/>
    <w:rsid w:val="00305613"/>
    <w:rsid w:val="00365D6F"/>
    <w:rsid w:val="00375B8A"/>
    <w:rsid w:val="003854A0"/>
    <w:rsid w:val="003D242D"/>
    <w:rsid w:val="003D6EAA"/>
    <w:rsid w:val="003E5D7A"/>
    <w:rsid w:val="003F5124"/>
    <w:rsid w:val="00462F46"/>
    <w:rsid w:val="00496AB1"/>
    <w:rsid w:val="00500E54"/>
    <w:rsid w:val="00542F82"/>
    <w:rsid w:val="0056227C"/>
    <w:rsid w:val="005F04CD"/>
    <w:rsid w:val="00625293"/>
    <w:rsid w:val="006347C8"/>
    <w:rsid w:val="006446AC"/>
    <w:rsid w:val="0065571E"/>
    <w:rsid w:val="00663065"/>
    <w:rsid w:val="006722A2"/>
    <w:rsid w:val="00677121"/>
    <w:rsid w:val="0067715E"/>
    <w:rsid w:val="00677CD6"/>
    <w:rsid w:val="006F0F1C"/>
    <w:rsid w:val="006F5386"/>
    <w:rsid w:val="007137E3"/>
    <w:rsid w:val="00736913"/>
    <w:rsid w:val="00750788"/>
    <w:rsid w:val="00785B95"/>
    <w:rsid w:val="0078610E"/>
    <w:rsid w:val="00787A32"/>
    <w:rsid w:val="007C74F8"/>
    <w:rsid w:val="007D05AD"/>
    <w:rsid w:val="007E16CE"/>
    <w:rsid w:val="00840008"/>
    <w:rsid w:val="00840B5F"/>
    <w:rsid w:val="00845CC4"/>
    <w:rsid w:val="00864819"/>
    <w:rsid w:val="008B5240"/>
    <w:rsid w:val="008B54EF"/>
    <w:rsid w:val="00984819"/>
    <w:rsid w:val="009C466E"/>
    <w:rsid w:val="009F2FB6"/>
    <w:rsid w:val="00A0091A"/>
    <w:rsid w:val="00A52FC1"/>
    <w:rsid w:val="00A76B76"/>
    <w:rsid w:val="00AA51F3"/>
    <w:rsid w:val="00AC2DB2"/>
    <w:rsid w:val="00B01026"/>
    <w:rsid w:val="00B43D23"/>
    <w:rsid w:val="00BD2CB0"/>
    <w:rsid w:val="00BD339D"/>
    <w:rsid w:val="00BD76AB"/>
    <w:rsid w:val="00C071B4"/>
    <w:rsid w:val="00C24D2A"/>
    <w:rsid w:val="00C55F2A"/>
    <w:rsid w:val="00C5677A"/>
    <w:rsid w:val="00C914A3"/>
    <w:rsid w:val="00C93D42"/>
    <w:rsid w:val="00CF24C9"/>
    <w:rsid w:val="00CF7F87"/>
    <w:rsid w:val="00D10183"/>
    <w:rsid w:val="00D23A4B"/>
    <w:rsid w:val="00D319CC"/>
    <w:rsid w:val="00D7293C"/>
    <w:rsid w:val="00D7731C"/>
    <w:rsid w:val="00D87407"/>
    <w:rsid w:val="00DA4AF3"/>
    <w:rsid w:val="00DC6E67"/>
    <w:rsid w:val="00DF5787"/>
    <w:rsid w:val="00E01CE1"/>
    <w:rsid w:val="00E26E2D"/>
    <w:rsid w:val="00E33D14"/>
    <w:rsid w:val="00EB27D8"/>
    <w:rsid w:val="00EE51FE"/>
    <w:rsid w:val="00F13C32"/>
    <w:rsid w:val="00F275C1"/>
    <w:rsid w:val="00FF2B0C"/>
    <w:rsid w:val="00FF4A4C"/>
    <w:rsid w:val="00FF4F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2A3D6AD6-D9E3-44B3-AE74-3BA3FFC1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347">
      <w:bodyDiv w:val="1"/>
      <w:marLeft w:val="0"/>
      <w:marRight w:val="0"/>
      <w:marTop w:val="0"/>
      <w:marBottom w:val="0"/>
      <w:divBdr>
        <w:top w:val="none" w:sz="0" w:space="0" w:color="auto"/>
        <w:left w:val="none" w:sz="0" w:space="0" w:color="auto"/>
        <w:bottom w:val="none" w:sz="0" w:space="0" w:color="auto"/>
        <w:right w:val="none" w:sz="0" w:space="0" w:color="auto"/>
      </w:divBdr>
    </w:div>
    <w:div w:id="950016749">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 w:id="1812863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1</TotalTime>
  <Pages>2</Pages>
  <Words>210</Words>
  <Characters>1449</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1656</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Dr. Udovecz Ákos</cp:lastModifiedBy>
  <cp:revision>3</cp:revision>
  <cp:lastPrinted>2022-09-19T08:42:00Z</cp:lastPrinted>
  <dcterms:created xsi:type="dcterms:W3CDTF">2022-09-20T13:00:00Z</dcterms:created>
  <dcterms:modified xsi:type="dcterms:W3CDTF">2022-10-17T11:40:00Z</dcterms:modified>
</cp:coreProperties>
</file>