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Pr="00D25CA6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68D48FC6" w14:textId="77777777" w:rsidR="006A3E9F" w:rsidRPr="00D25CA6" w:rsidRDefault="006A3E9F" w:rsidP="0093128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383C1EF2" w14:textId="77777777" w:rsidR="00D04F62" w:rsidRPr="00D25CA6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25CA6" w:rsidRPr="00D25CA6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77777777" w:rsidR="0013685C" w:rsidRPr="00D25CA6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D25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239" w:type="dxa"/>
          </w:tcPr>
          <w:p w14:paraId="25F1911A" w14:textId="7C8CBCFA" w:rsidR="0013685C" w:rsidRPr="00D25CA6" w:rsidRDefault="007E2CDA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25C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International Real Estate Transactions</w:t>
            </w:r>
          </w:p>
        </w:tc>
      </w:tr>
      <w:tr w:rsidR="00D25CA6" w:rsidRPr="00D25CA6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77777777" w:rsidR="0013685C" w:rsidRPr="00D25CA6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Lecturers: </w:t>
            </w:r>
          </w:p>
        </w:tc>
        <w:tc>
          <w:tcPr>
            <w:tcW w:w="5239" w:type="dxa"/>
          </w:tcPr>
          <w:p w14:paraId="79D62676" w14:textId="77777777" w:rsidR="00632FF7" w:rsidRPr="00632FF7" w:rsidRDefault="00632FF7" w:rsidP="00632FF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632FF7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dr. </w:t>
            </w:r>
            <w:proofErr w:type="spellStart"/>
            <w:r w:rsidRPr="00632FF7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Szilárd</w:t>
            </w:r>
            <w:proofErr w:type="spellEnd"/>
            <w:r w:rsidRPr="00632FF7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Kui, </w:t>
            </w:r>
            <w:r w:rsidRPr="00632FF7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DLA Piper, local partner</w:t>
            </w:r>
          </w:p>
          <w:p w14:paraId="3C959155" w14:textId="278E6FF5" w:rsidR="0013685C" w:rsidRPr="00632FF7" w:rsidRDefault="0065604B" w:rsidP="00632FF7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8" w:history="1">
              <w:r w:rsidR="00632FF7" w:rsidRPr="00632FF7">
                <w:rPr>
                  <w:rStyle w:val="Hiperhivatkozs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szilard.kui@gmail.com</w:t>
              </w:r>
            </w:hyperlink>
          </w:p>
        </w:tc>
      </w:tr>
      <w:tr w:rsidR="00D25CA6" w:rsidRPr="00D25CA6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7777777" w:rsidR="0013685C" w:rsidRPr="00D25CA6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D25CA6">
              <w:rPr>
                <w:rStyle w:val="Hiperhivatkozs"/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u w:val="none"/>
                <w:lang w:val="en-GB"/>
              </w:rPr>
              <w:t>Brief description</w:t>
            </w:r>
          </w:p>
        </w:tc>
        <w:tc>
          <w:tcPr>
            <w:tcW w:w="5239" w:type="dxa"/>
          </w:tcPr>
          <w:p w14:paraId="6B8D0304" w14:textId="141A3732" w:rsidR="0013685C" w:rsidRPr="00632FF7" w:rsidRDefault="000D4009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</w:pPr>
            <w:r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 xml:space="preserve">During this </w:t>
            </w:r>
            <w:proofErr w:type="gramStart"/>
            <w:r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>course</w:t>
            </w:r>
            <w:proofErr w:type="gramEnd"/>
            <w:r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 xml:space="preserve"> we will dive into the exciting world of cross border commercial real estate</w:t>
            </w:r>
            <w:r w:rsidR="00542485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 xml:space="preserve"> (office buildings, shopping malls, logistic </w:t>
            </w:r>
            <w:proofErr w:type="spellStart"/>
            <w:r w:rsidR="00542485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>centers</w:t>
            </w:r>
            <w:proofErr w:type="spellEnd"/>
            <w:r w:rsidR="00542485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>, factories, hotels)</w:t>
            </w:r>
            <w:r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 xml:space="preserve"> transactions</w:t>
            </w:r>
            <w:r w:rsidR="008367BD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 xml:space="preserve">. We will examine how the commercial real estate market works, who are the actors and what forces drive the </w:t>
            </w:r>
            <w:r w:rsidR="0027581A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>behaviour</w:t>
            </w:r>
            <w:r w:rsidR="008367BD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 xml:space="preserve"> o</w:t>
            </w:r>
            <w:r w:rsidR="006369F1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 xml:space="preserve">f those actors. </w:t>
            </w:r>
            <w:r w:rsidR="00D25CA6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>W</w:t>
            </w:r>
            <w:r w:rsidR="00803663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 xml:space="preserve">e will take a typical international real estate transaction from inception, trough </w:t>
            </w:r>
            <w:r w:rsidR="00D21BE7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 xml:space="preserve">initial negotiations to signing and closing </w:t>
            </w:r>
            <w:r w:rsidR="00D25CA6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>and will inspect how the different bits and pieces work and what are the risks and liabilities that the parties want to address and allocate</w:t>
            </w:r>
            <w:r w:rsidR="00D21BE7" w:rsidRPr="00632FF7">
              <w:rPr>
                <w:rStyle w:val="Hiperhivatkozs"/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u w:val="none"/>
                <w:lang w:val="en-GB"/>
              </w:rPr>
              <w:t>.</w:t>
            </w:r>
          </w:p>
        </w:tc>
      </w:tr>
      <w:tr w:rsidR="00D25CA6" w:rsidRPr="00D25CA6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77777777" w:rsidR="0013685C" w:rsidRPr="00D25CA6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239" w:type="dxa"/>
          </w:tcPr>
          <w:p w14:paraId="3A0077CD" w14:textId="20F9A30D" w:rsidR="0013685C" w:rsidRPr="00632FF7" w:rsidRDefault="00A8606C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Introduction</w:t>
            </w:r>
            <w:r w:rsidR="00A213BF"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, s</w:t>
            </w: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chedule and requirements </w:t>
            </w:r>
          </w:p>
          <w:p w14:paraId="1E96ED2B" w14:textId="78445EB1" w:rsidR="00843161" w:rsidRPr="00632FF7" w:rsidRDefault="00A213BF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What are commercial real estates? Is there an international market for them?</w:t>
            </w:r>
          </w:p>
          <w:p w14:paraId="6EE4B147" w14:textId="66AEE8EF" w:rsidR="00843161" w:rsidRPr="00632FF7" w:rsidRDefault="0001463B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How do lease agreements work and why are they important?</w:t>
            </w:r>
          </w:p>
          <w:p w14:paraId="0B8B7BB1" w14:textId="6EE3EBA4" w:rsidR="00843161" w:rsidRPr="00632FF7" w:rsidRDefault="00DA25D7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94566B"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utting a</w:t>
            </w: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sale and purchase on track; negotiating a letter of intent</w:t>
            </w:r>
          </w:p>
          <w:p w14:paraId="6E0753E4" w14:textId="6436E53F" w:rsidR="00843161" w:rsidRPr="00632FF7" w:rsidRDefault="0094566B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The role of due diligence and what to look for</w:t>
            </w:r>
          </w:p>
          <w:p w14:paraId="146C6283" w14:textId="2FE0F0EA" w:rsidR="00843161" w:rsidRPr="00632FF7" w:rsidRDefault="00FC7CF4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How to structure an international real estate transaction?</w:t>
            </w:r>
          </w:p>
          <w:p w14:paraId="318C190E" w14:textId="2C55AB05" w:rsidR="00843161" w:rsidRPr="00632FF7" w:rsidRDefault="00340A1F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Sale and purchase agreements</w:t>
            </w:r>
            <w:r w:rsidR="00C97C11"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I.</w:t>
            </w:r>
          </w:p>
          <w:p w14:paraId="2B6A7208" w14:textId="067F2190" w:rsidR="00843161" w:rsidRPr="00632FF7" w:rsidRDefault="00340A1F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Sale and purchase agreements</w:t>
            </w:r>
            <w:r w:rsidR="00C97C11"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II.</w:t>
            </w:r>
          </w:p>
          <w:p w14:paraId="0F2B1A0B" w14:textId="3490C995" w:rsidR="00843161" w:rsidRPr="00632FF7" w:rsidRDefault="0094566B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Sale and purchase agreements</w:t>
            </w:r>
            <w:r w:rsidR="00C97C11"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III.</w:t>
            </w:r>
          </w:p>
          <w:p w14:paraId="0A09F399" w14:textId="331B8558" w:rsidR="00843161" w:rsidRPr="00632FF7" w:rsidRDefault="0001463B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Limitation of liability</w:t>
            </w:r>
            <w:r w:rsidR="00844A94"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, claims</w:t>
            </w:r>
          </w:p>
          <w:p w14:paraId="7CB04915" w14:textId="27E8B16B" w:rsidR="00843161" w:rsidRPr="00632FF7" w:rsidRDefault="0001463B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W&amp;I</w:t>
            </w:r>
            <w:r w:rsidR="00C97C11"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insurance and other tools to manage risks</w:t>
            </w:r>
          </w:p>
          <w:p w14:paraId="393D2282" w14:textId="0FB44885" w:rsidR="00843161" w:rsidRPr="00632FF7" w:rsidRDefault="007E6D97" w:rsidP="00632FF7">
            <w:pPr>
              <w:pStyle w:val="Listaszerbekezds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en-US"/>
              </w:rPr>
              <w:t>Summary, consultation, course test</w:t>
            </w:r>
          </w:p>
        </w:tc>
      </w:tr>
      <w:tr w:rsidR="00D25CA6" w:rsidRPr="00D25CA6" w14:paraId="001653A9" w14:textId="7961B462" w:rsidTr="00632FF7">
        <w:trPr>
          <w:trHeight w:val="1051"/>
        </w:trPr>
        <w:tc>
          <w:tcPr>
            <w:tcW w:w="3823" w:type="dxa"/>
          </w:tcPr>
          <w:p w14:paraId="37FD00D9" w14:textId="77777777" w:rsidR="0013685C" w:rsidRPr="00D25CA6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Materials</w:t>
            </w:r>
            <w:proofErr w:type="spellEnd"/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Recommended</w:t>
            </w:r>
            <w:proofErr w:type="spellEnd"/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5239" w:type="dxa"/>
          </w:tcPr>
          <w:p w14:paraId="345207AB" w14:textId="6B255168" w:rsidR="0013685C" w:rsidRPr="00632FF7" w:rsidRDefault="00AE7C58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Any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required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reading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materials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be </w:t>
            </w: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sent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or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handed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over </w:t>
            </w: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students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685C" w:rsidRPr="00D25CA6" w14:paraId="172F0FFF" w14:textId="49FCEC89" w:rsidTr="00632FF7">
        <w:trPr>
          <w:trHeight w:val="838"/>
        </w:trPr>
        <w:tc>
          <w:tcPr>
            <w:tcW w:w="3823" w:type="dxa"/>
          </w:tcPr>
          <w:p w14:paraId="7394312A" w14:textId="77777777" w:rsidR="0013685C" w:rsidRPr="00D25CA6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proofErr w:type="spellEnd"/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25CA6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39" w:type="dxa"/>
          </w:tcPr>
          <w:p w14:paraId="070B0D34" w14:textId="744F9A87" w:rsidR="0013685C" w:rsidRPr="00632FF7" w:rsidRDefault="00D25CA6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Written</w:t>
            </w:r>
            <w:proofErr w:type="spellEnd"/>
            <w:r w:rsidRPr="00632FF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test</w:t>
            </w:r>
          </w:p>
        </w:tc>
      </w:tr>
    </w:tbl>
    <w:p w14:paraId="42B17EC3" w14:textId="1B93AC40" w:rsidR="00AF6735" w:rsidRPr="00D25CA6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</w:pPr>
    </w:p>
    <w:sectPr w:rsidR="00AF6735" w:rsidRPr="00D25CA6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B1C8" w14:textId="77777777" w:rsidR="003F5B98" w:rsidRDefault="003F5B98" w:rsidP="006A3E9F">
      <w:pPr>
        <w:spacing w:after="0" w:line="240" w:lineRule="auto"/>
      </w:pPr>
      <w:r>
        <w:separator/>
      </w:r>
    </w:p>
  </w:endnote>
  <w:endnote w:type="continuationSeparator" w:id="0">
    <w:p w14:paraId="6DBBBF86" w14:textId="77777777" w:rsidR="003F5B98" w:rsidRDefault="003F5B98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2E44" w14:textId="77777777" w:rsidR="003F5B98" w:rsidRDefault="003F5B98" w:rsidP="006A3E9F">
      <w:pPr>
        <w:spacing w:after="0" w:line="240" w:lineRule="auto"/>
      </w:pPr>
      <w:r>
        <w:separator/>
      </w:r>
    </w:p>
  </w:footnote>
  <w:footnote w:type="continuationSeparator" w:id="0">
    <w:p w14:paraId="0115D1E2" w14:textId="77777777" w:rsidR="003F5B98" w:rsidRDefault="003F5B98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C52F" w14:textId="77777777" w:rsidR="0065604B" w:rsidRPr="0065604B" w:rsidRDefault="0065604B" w:rsidP="0065604B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65604B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654D8366" wp14:editId="69B6B9E4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566C19" w14:textId="77777777" w:rsidR="0065604B" w:rsidRPr="0065604B" w:rsidRDefault="0065604B" w:rsidP="0065604B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65604B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597DD49F" w14:textId="77777777" w:rsidR="0065604B" w:rsidRPr="0065604B" w:rsidRDefault="0065604B" w:rsidP="0065604B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65604B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4B52B3EC" w14:textId="77777777" w:rsidR="0065604B" w:rsidRPr="0065604B" w:rsidRDefault="0065604B" w:rsidP="0065604B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65604B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65604B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3ECD4E9C" w14:textId="77777777" w:rsidR="0065604B" w:rsidRPr="0065604B" w:rsidRDefault="0065604B" w:rsidP="0065604B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65604B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E622F47" w14:textId="3DAD7EAF" w:rsidR="00B74E3C" w:rsidRDefault="00B74E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7D85"/>
    <w:multiLevelType w:val="hybridMultilevel"/>
    <w:tmpl w:val="5902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4D08"/>
    <w:multiLevelType w:val="hybridMultilevel"/>
    <w:tmpl w:val="07FE0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7E3B"/>
    <w:multiLevelType w:val="hybridMultilevel"/>
    <w:tmpl w:val="FC5ACB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1463B"/>
    <w:rsid w:val="00031F56"/>
    <w:rsid w:val="0008349D"/>
    <w:rsid w:val="000A54A2"/>
    <w:rsid w:val="000B1D44"/>
    <w:rsid w:val="000D4009"/>
    <w:rsid w:val="000E6630"/>
    <w:rsid w:val="00122B14"/>
    <w:rsid w:val="001241F1"/>
    <w:rsid w:val="0013685C"/>
    <w:rsid w:val="00154A91"/>
    <w:rsid w:val="00177C40"/>
    <w:rsid w:val="001B3B3C"/>
    <w:rsid w:val="002105B1"/>
    <w:rsid w:val="00214377"/>
    <w:rsid w:val="00257A5E"/>
    <w:rsid w:val="0026453B"/>
    <w:rsid w:val="00275162"/>
    <w:rsid w:val="0027581A"/>
    <w:rsid w:val="002A7467"/>
    <w:rsid w:val="002B2437"/>
    <w:rsid w:val="002C5780"/>
    <w:rsid w:val="002D4CE3"/>
    <w:rsid w:val="002F4EDE"/>
    <w:rsid w:val="00314EEA"/>
    <w:rsid w:val="00326BDD"/>
    <w:rsid w:val="00340A1F"/>
    <w:rsid w:val="00347A6B"/>
    <w:rsid w:val="00375825"/>
    <w:rsid w:val="003D6FD0"/>
    <w:rsid w:val="003F5B98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42485"/>
    <w:rsid w:val="00556081"/>
    <w:rsid w:val="00575FBE"/>
    <w:rsid w:val="005A64D8"/>
    <w:rsid w:val="005C7CD2"/>
    <w:rsid w:val="00632FF7"/>
    <w:rsid w:val="006369F1"/>
    <w:rsid w:val="0065604B"/>
    <w:rsid w:val="00660BBE"/>
    <w:rsid w:val="006A00EE"/>
    <w:rsid w:val="006A370D"/>
    <w:rsid w:val="006A3E9F"/>
    <w:rsid w:val="006B41A4"/>
    <w:rsid w:val="0070193A"/>
    <w:rsid w:val="00724AC9"/>
    <w:rsid w:val="007258B7"/>
    <w:rsid w:val="007317AD"/>
    <w:rsid w:val="00734076"/>
    <w:rsid w:val="00740F2E"/>
    <w:rsid w:val="007563EA"/>
    <w:rsid w:val="00760039"/>
    <w:rsid w:val="0077573E"/>
    <w:rsid w:val="00794C2C"/>
    <w:rsid w:val="007A40F6"/>
    <w:rsid w:val="007A4D5A"/>
    <w:rsid w:val="007C4AA8"/>
    <w:rsid w:val="007E1F1F"/>
    <w:rsid w:val="007E2CDA"/>
    <w:rsid w:val="007E6D97"/>
    <w:rsid w:val="00803663"/>
    <w:rsid w:val="008367BD"/>
    <w:rsid w:val="00843161"/>
    <w:rsid w:val="00844A94"/>
    <w:rsid w:val="008759F5"/>
    <w:rsid w:val="008A657B"/>
    <w:rsid w:val="008B251A"/>
    <w:rsid w:val="008C6F6E"/>
    <w:rsid w:val="008E206F"/>
    <w:rsid w:val="008E334E"/>
    <w:rsid w:val="008F4789"/>
    <w:rsid w:val="00907F12"/>
    <w:rsid w:val="00915C8B"/>
    <w:rsid w:val="0093128C"/>
    <w:rsid w:val="00942596"/>
    <w:rsid w:val="0094566B"/>
    <w:rsid w:val="00957CD4"/>
    <w:rsid w:val="00970042"/>
    <w:rsid w:val="00987F31"/>
    <w:rsid w:val="009A2832"/>
    <w:rsid w:val="009D7326"/>
    <w:rsid w:val="00A054C2"/>
    <w:rsid w:val="00A213BF"/>
    <w:rsid w:val="00A24E3E"/>
    <w:rsid w:val="00A34386"/>
    <w:rsid w:val="00A40DF6"/>
    <w:rsid w:val="00A66710"/>
    <w:rsid w:val="00A8606C"/>
    <w:rsid w:val="00AE7C58"/>
    <w:rsid w:val="00AF6735"/>
    <w:rsid w:val="00B1106A"/>
    <w:rsid w:val="00B5054D"/>
    <w:rsid w:val="00B6676D"/>
    <w:rsid w:val="00B74E3C"/>
    <w:rsid w:val="00B9260F"/>
    <w:rsid w:val="00BA3AB1"/>
    <w:rsid w:val="00BA6A21"/>
    <w:rsid w:val="00BD113F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97C11"/>
    <w:rsid w:val="00CA0C3F"/>
    <w:rsid w:val="00CB57FC"/>
    <w:rsid w:val="00CC4C2A"/>
    <w:rsid w:val="00CF4A2A"/>
    <w:rsid w:val="00CF6C52"/>
    <w:rsid w:val="00D04F62"/>
    <w:rsid w:val="00D21BE7"/>
    <w:rsid w:val="00D22F10"/>
    <w:rsid w:val="00D23617"/>
    <w:rsid w:val="00D25CA6"/>
    <w:rsid w:val="00D33DDE"/>
    <w:rsid w:val="00D56591"/>
    <w:rsid w:val="00DA041C"/>
    <w:rsid w:val="00DA25D7"/>
    <w:rsid w:val="00DA3812"/>
    <w:rsid w:val="00DF137E"/>
    <w:rsid w:val="00DF6828"/>
    <w:rsid w:val="00E0037E"/>
    <w:rsid w:val="00E50966"/>
    <w:rsid w:val="00E90C54"/>
    <w:rsid w:val="00EB5BB4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C7CF4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ilard.ku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D845A-2B38-4272-9487-B8F9CEE3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dcterms:created xsi:type="dcterms:W3CDTF">2022-05-17T08:05:00Z</dcterms:created>
  <dcterms:modified xsi:type="dcterms:W3CDTF">2022-05-25T14:43:00Z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84de1447-e29e-40fc-a36f-36395628ce90</vt:lpwstr>
  </property>
</Properties>
</file>