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F9C1C" w14:textId="77777777" w:rsidR="006A3E9F" w:rsidRDefault="006A3E9F" w:rsidP="0026453B">
      <w:pPr>
        <w:pStyle w:val="Nincstrkz"/>
        <w:tabs>
          <w:tab w:val="left" w:pos="7371"/>
        </w:tabs>
        <w:jc w:val="both"/>
        <w:rPr>
          <w:rFonts w:ascii="Times New Roman" w:hAnsi="Times New Roman" w:cs="Times New Roman"/>
          <w:b/>
          <w:sz w:val="24"/>
          <w:szCs w:val="24"/>
          <w:lang w:val="en-GB"/>
        </w:rPr>
      </w:pPr>
    </w:p>
    <w:p w14:paraId="68D48FC6" w14:textId="77777777" w:rsidR="006A3E9F" w:rsidRDefault="006A3E9F" w:rsidP="0093128C">
      <w:pPr>
        <w:pStyle w:val="Nincstrkz"/>
        <w:jc w:val="both"/>
        <w:rPr>
          <w:rFonts w:ascii="Times New Roman" w:hAnsi="Times New Roman" w:cs="Times New Roman"/>
          <w:b/>
          <w:sz w:val="24"/>
          <w:szCs w:val="24"/>
          <w:lang w:val="en-GB"/>
        </w:rPr>
      </w:pPr>
    </w:p>
    <w:p w14:paraId="3D9C8236" w14:textId="77777777" w:rsidR="006A3E9F" w:rsidRPr="00BD64FE" w:rsidRDefault="006A3E9F" w:rsidP="0093128C">
      <w:pPr>
        <w:pStyle w:val="Nincstrkz"/>
        <w:jc w:val="both"/>
        <w:rPr>
          <w:rFonts w:ascii="Century Schoolbook" w:hAnsi="Century Schoolbook" w:cs="Times New Roman"/>
          <w:b/>
          <w:lang w:val="en-GB"/>
        </w:rPr>
      </w:pPr>
      <w:bookmarkStart w:id="0" w:name="_GoBack"/>
      <w:bookmarkEnd w:id="0"/>
    </w:p>
    <w:p w14:paraId="383C1EF2" w14:textId="77777777" w:rsidR="00D04F62" w:rsidRPr="00BD64FE" w:rsidRDefault="00D04F62" w:rsidP="00660BBE">
      <w:pPr>
        <w:autoSpaceDE w:val="0"/>
        <w:autoSpaceDN w:val="0"/>
        <w:adjustRightInd w:val="0"/>
        <w:spacing w:after="0" w:line="240" w:lineRule="auto"/>
        <w:jc w:val="both"/>
        <w:rPr>
          <w:rFonts w:ascii="Century Schoolbook" w:hAnsi="Century Schoolbook" w:cs="Times New Roman"/>
          <w:b/>
          <w:u w:val="single"/>
          <w:lang w:val="en-US"/>
        </w:rPr>
      </w:pPr>
    </w:p>
    <w:tbl>
      <w:tblPr>
        <w:tblStyle w:val="Rcsostblzat"/>
        <w:tblW w:w="0" w:type="auto"/>
        <w:tblLook w:val="04A0" w:firstRow="1" w:lastRow="0" w:firstColumn="1" w:lastColumn="0" w:noHBand="0" w:noVBand="1"/>
      </w:tblPr>
      <w:tblGrid>
        <w:gridCol w:w="3823"/>
        <w:gridCol w:w="5239"/>
      </w:tblGrid>
      <w:tr w:rsidR="0013685C" w:rsidRPr="00BD64FE" w14:paraId="422D0F2D" w14:textId="4E9785B7" w:rsidTr="0013685C">
        <w:trPr>
          <w:trHeight w:val="680"/>
        </w:trPr>
        <w:tc>
          <w:tcPr>
            <w:tcW w:w="3823" w:type="dxa"/>
          </w:tcPr>
          <w:p w14:paraId="0B43C6C4" w14:textId="77777777" w:rsidR="0013685C" w:rsidRPr="00BD64FE" w:rsidRDefault="0013685C" w:rsidP="00B91483">
            <w:pPr>
              <w:autoSpaceDE w:val="0"/>
              <w:autoSpaceDN w:val="0"/>
              <w:adjustRightInd w:val="0"/>
              <w:rPr>
                <w:rFonts w:ascii="Century Schoolbook" w:hAnsi="Century Schoolbook" w:cs="Times New Roman"/>
                <w:b/>
              </w:rPr>
            </w:pPr>
            <w:r w:rsidRPr="00BD64FE">
              <w:rPr>
                <w:rFonts w:ascii="Century Schoolbook" w:hAnsi="Century Schoolbook" w:cs="Times New Roman"/>
                <w:b/>
                <w:lang w:val="en-US"/>
              </w:rPr>
              <w:t>Title</w:t>
            </w:r>
          </w:p>
        </w:tc>
        <w:tc>
          <w:tcPr>
            <w:tcW w:w="5239" w:type="dxa"/>
          </w:tcPr>
          <w:p w14:paraId="25F1911A" w14:textId="1AF74387" w:rsidR="0013685C" w:rsidRPr="001E7DE8" w:rsidRDefault="001E7DE8" w:rsidP="00B91483">
            <w:pPr>
              <w:autoSpaceDE w:val="0"/>
              <w:autoSpaceDN w:val="0"/>
              <w:adjustRightInd w:val="0"/>
              <w:rPr>
                <w:rFonts w:ascii="Century Schoolbook" w:hAnsi="Century Schoolbook" w:cs="Times New Roman"/>
                <w:b/>
                <w:u w:val="single"/>
                <w:lang w:val="en-US"/>
              </w:rPr>
            </w:pPr>
            <w:r w:rsidRPr="001E7DE8">
              <w:rPr>
                <w:rFonts w:ascii="Times New Roman" w:eastAsia="Times New Roman" w:hAnsi="Times New Roman" w:cs="Times New Roman"/>
                <w:b/>
                <w:sz w:val="24"/>
                <w:szCs w:val="24"/>
                <w:lang w:val="en-US"/>
              </w:rPr>
              <w:t>International Commercial Dispute Settlement Law</w:t>
            </w:r>
          </w:p>
        </w:tc>
      </w:tr>
      <w:tr w:rsidR="0013685C" w:rsidRPr="00BD64FE" w14:paraId="46B5954C" w14:textId="3F586132" w:rsidTr="00843161">
        <w:trPr>
          <w:trHeight w:val="1258"/>
        </w:trPr>
        <w:tc>
          <w:tcPr>
            <w:tcW w:w="3823" w:type="dxa"/>
          </w:tcPr>
          <w:p w14:paraId="55AC1BDB" w14:textId="77777777" w:rsidR="0013685C" w:rsidRPr="00BD64FE" w:rsidRDefault="0013685C" w:rsidP="00B91483">
            <w:pPr>
              <w:autoSpaceDE w:val="0"/>
              <w:autoSpaceDN w:val="0"/>
              <w:adjustRightInd w:val="0"/>
              <w:jc w:val="both"/>
              <w:rPr>
                <w:rFonts w:ascii="Century Schoolbook" w:eastAsia="MS Mincho" w:hAnsi="Century Schoolbook" w:cs="Times New Roman"/>
                <w:bCs/>
              </w:rPr>
            </w:pPr>
            <w:r w:rsidRPr="00BD64FE">
              <w:rPr>
                <w:rFonts w:ascii="Century Schoolbook" w:eastAsia="MS Mincho" w:hAnsi="Century Schoolbook" w:cs="Times New Roman"/>
                <w:b/>
                <w:bCs/>
              </w:rPr>
              <w:t>Lecturers:</w:t>
            </w:r>
            <w:r w:rsidRPr="00BD64FE">
              <w:rPr>
                <w:rFonts w:ascii="Century Schoolbook" w:eastAsia="MS Mincho" w:hAnsi="Century Schoolbook" w:cs="Times New Roman"/>
                <w:bCs/>
              </w:rPr>
              <w:t xml:space="preserve"> </w:t>
            </w:r>
          </w:p>
        </w:tc>
        <w:tc>
          <w:tcPr>
            <w:tcW w:w="5239" w:type="dxa"/>
          </w:tcPr>
          <w:p w14:paraId="6DD8A1DD" w14:textId="60F64CCD" w:rsidR="0013685C" w:rsidRPr="00773181" w:rsidRDefault="00122B36" w:rsidP="00B91483">
            <w:pPr>
              <w:autoSpaceDE w:val="0"/>
              <w:autoSpaceDN w:val="0"/>
              <w:adjustRightInd w:val="0"/>
              <w:jc w:val="both"/>
              <w:rPr>
                <w:rFonts w:ascii="Century Schoolbook" w:eastAsia="MS Mincho" w:hAnsi="Century Schoolbook" w:cs="Times New Roman"/>
                <w:bCs/>
              </w:rPr>
            </w:pPr>
            <w:r w:rsidRPr="00BD64FE">
              <w:rPr>
                <w:rFonts w:ascii="Century Schoolbook" w:eastAsia="MS Mincho" w:hAnsi="Century Schoolbook" w:cs="Times New Roman"/>
                <w:b/>
                <w:bCs/>
              </w:rPr>
              <w:t xml:space="preserve">Milan </w:t>
            </w:r>
            <w:proofErr w:type="spellStart"/>
            <w:r w:rsidRPr="00BD64FE">
              <w:rPr>
                <w:rFonts w:ascii="Century Schoolbook" w:eastAsia="MS Mincho" w:hAnsi="Century Schoolbook" w:cs="Times New Roman"/>
                <w:b/>
                <w:bCs/>
              </w:rPr>
              <w:t>Kohlrusz</w:t>
            </w:r>
            <w:proofErr w:type="spellEnd"/>
            <w:r w:rsidR="00773181">
              <w:rPr>
                <w:rFonts w:ascii="Century Schoolbook" w:eastAsia="MS Mincho" w:hAnsi="Century Schoolbook" w:cs="Times New Roman"/>
                <w:b/>
                <w:bCs/>
              </w:rPr>
              <w:t xml:space="preserve">, </w:t>
            </w:r>
            <w:r w:rsidR="00773181">
              <w:rPr>
                <w:rFonts w:ascii="Century Schoolbook" w:eastAsia="MS Mincho" w:hAnsi="Century Schoolbook" w:cs="Times New Roman"/>
                <w:bCs/>
              </w:rPr>
              <w:t>attorney at law</w:t>
            </w:r>
          </w:p>
          <w:p w14:paraId="5FBF9F28" w14:textId="142956C7" w:rsidR="00EE36FF" w:rsidRDefault="00E16EE5" w:rsidP="00B91483">
            <w:pPr>
              <w:autoSpaceDE w:val="0"/>
              <w:autoSpaceDN w:val="0"/>
              <w:adjustRightInd w:val="0"/>
              <w:jc w:val="both"/>
              <w:rPr>
                <w:rFonts w:ascii="Century Schoolbook" w:eastAsia="MS Mincho" w:hAnsi="Century Schoolbook" w:cs="Times New Roman"/>
                <w:b/>
                <w:bCs/>
              </w:rPr>
            </w:pPr>
            <w:hyperlink r:id="rId8" w:history="1">
              <w:r w:rsidR="00EE36FF" w:rsidRPr="00F45A80">
                <w:rPr>
                  <w:rStyle w:val="Hiperhivatkozs"/>
                  <w:rFonts w:ascii="Century Schoolbook" w:eastAsia="MS Mincho" w:hAnsi="Century Schoolbook" w:cs="Times New Roman"/>
                  <w:b/>
                  <w:bCs/>
                </w:rPr>
                <w:t>milan.kohlrusz@bktp.hu</w:t>
              </w:r>
            </w:hyperlink>
          </w:p>
          <w:p w14:paraId="3C959155" w14:textId="527B502D" w:rsidR="00EE36FF" w:rsidRPr="00BD64FE" w:rsidRDefault="00EE36FF" w:rsidP="00B91483">
            <w:pPr>
              <w:autoSpaceDE w:val="0"/>
              <w:autoSpaceDN w:val="0"/>
              <w:adjustRightInd w:val="0"/>
              <w:jc w:val="both"/>
              <w:rPr>
                <w:rFonts w:ascii="Century Schoolbook" w:eastAsia="MS Mincho" w:hAnsi="Century Schoolbook" w:cs="Times New Roman"/>
                <w:b/>
                <w:bCs/>
              </w:rPr>
            </w:pPr>
          </w:p>
        </w:tc>
      </w:tr>
      <w:tr w:rsidR="0013685C" w:rsidRPr="00BD64FE" w14:paraId="4A8773B5" w14:textId="50F53F5F" w:rsidTr="0013685C">
        <w:trPr>
          <w:trHeight w:val="2211"/>
        </w:trPr>
        <w:tc>
          <w:tcPr>
            <w:tcW w:w="3823" w:type="dxa"/>
          </w:tcPr>
          <w:p w14:paraId="3F2D5E4D" w14:textId="77777777" w:rsidR="0013685C" w:rsidRPr="00BD64FE" w:rsidRDefault="0013685C" w:rsidP="00B91483">
            <w:pPr>
              <w:autoSpaceDE w:val="0"/>
              <w:autoSpaceDN w:val="0"/>
              <w:adjustRightInd w:val="0"/>
              <w:jc w:val="both"/>
              <w:rPr>
                <w:rFonts w:ascii="Century Schoolbook" w:eastAsia="MS Mincho" w:hAnsi="Century Schoolbook" w:cs="Times New Roman"/>
                <w:b/>
                <w:bCs/>
              </w:rPr>
            </w:pPr>
            <w:r w:rsidRPr="00BD64FE">
              <w:rPr>
                <w:rStyle w:val="Hiperhivatkozs"/>
                <w:rFonts w:ascii="Century Schoolbook" w:eastAsia="MS Mincho" w:hAnsi="Century Schoolbook" w:cs="Times New Roman"/>
                <w:b/>
                <w:bCs/>
                <w:color w:val="auto"/>
                <w:u w:val="none"/>
              </w:rPr>
              <w:t>Brief description</w:t>
            </w:r>
          </w:p>
        </w:tc>
        <w:tc>
          <w:tcPr>
            <w:tcW w:w="5239" w:type="dxa"/>
          </w:tcPr>
          <w:p w14:paraId="55F3E273" w14:textId="0B5DDE2C" w:rsidR="00122B36" w:rsidRPr="00BD64FE" w:rsidRDefault="00122B36" w:rsidP="00122B36">
            <w:pPr>
              <w:pStyle w:val="NormlWeb"/>
              <w:spacing w:before="0" w:beforeAutospacing="0" w:after="0" w:afterAutospacing="0"/>
              <w:jc w:val="both"/>
              <w:rPr>
                <w:rFonts w:ascii="Century Schoolbook" w:hAnsi="Century Schoolbook"/>
                <w:color w:val="000000"/>
                <w:sz w:val="22"/>
                <w:szCs w:val="22"/>
              </w:rPr>
            </w:pPr>
            <w:r w:rsidRPr="00BD64FE">
              <w:rPr>
                <w:rFonts w:ascii="Century Schoolbook" w:hAnsi="Century Schoolbook"/>
                <w:color w:val="000000"/>
                <w:sz w:val="22"/>
                <w:szCs w:val="22"/>
              </w:rPr>
              <w:t>The course presents, outlines and discusses the rules and practices of cross-border disputes such as multi-countries litigation and international arbitration, with a view to further also comparing the rules and differences of international matters. While the emphasis of international arbitration would be based on ICC rules, however we would also pay attention to the Vienna International Court of Arbitration (VIAC), the London Court of International Arbitration (LCIA) and the Investment Treaty Arbitration (ICSID). In cross-border litigation we would cover dispute</w:t>
            </w:r>
            <w:r w:rsidR="00BD64FE">
              <w:rPr>
                <w:rFonts w:ascii="Century Schoolbook" w:hAnsi="Century Schoolbook"/>
                <w:color w:val="000000"/>
                <w:sz w:val="22"/>
                <w:szCs w:val="22"/>
              </w:rPr>
              <w:t>s</w:t>
            </w:r>
            <w:r w:rsidRPr="00BD64FE">
              <w:rPr>
                <w:rFonts w:ascii="Century Schoolbook" w:hAnsi="Century Schoolbook"/>
                <w:color w:val="000000"/>
                <w:sz w:val="22"/>
                <w:szCs w:val="22"/>
              </w:rPr>
              <w:t xml:space="preserve"> in overseas matters</w:t>
            </w:r>
            <w:r w:rsidR="00BD64FE">
              <w:rPr>
                <w:rFonts w:ascii="Century Schoolbook" w:hAnsi="Century Schoolbook"/>
                <w:color w:val="000000"/>
                <w:sz w:val="22"/>
                <w:szCs w:val="22"/>
              </w:rPr>
              <w:t xml:space="preserve"> with personal experiences</w:t>
            </w:r>
            <w:r w:rsidRPr="00BD64FE">
              <w:rPr>
                <w:rFonts w:ascii="Century Schoolbook" w:hAnsi="Century Schoolbook"/>
                <w:color w:val="000000"/>
                <w:sz w:val="22"/>
                <w:szCs w:val="22"/>
              </w:rPr>
              <w:t>.</w:t>
            </w:r>
          </w:p>
          <w:p w14:paraId="08434AD2" w14:textId="77777777" w:rsidR="00122B36" w:rsidRPr="00BD64FE" w:rsidRDefault="00122B36" w:rsidP="00122B36">
            <w:pPr>
              <w:pStyle w:val="NormlWeb"/>
              <w:spacing w:before="0" w:beforeAutospacing="0" w:after="0" w:afterAutospacing="0"/>
              <w:jc w:val="both"/>
              <w:rPr>
                <w:rFonts w:ascii="Century Schoolbook" w:hAnsi="Century Schoolbook"/>
                <w:color w:val="000000"/>
                <w:sz w:val="22"/>
                <w:szCs w:val="22"/>
              </w:rPr>
            </w:pPr>
            <w:r w:rsidRPr="00BD64FE">
              <w:rPr>
                <w:rFonts w:ascii="Century Schoolbook" w:hAnsi="Century Schoolbook"/>
                <w:color w:val="000000"/>
                <w:sz w:val="22"/>
                <w:szCs w:val="22"/>
              </w:rPr>
              <w:t> </w:t>
            </w:r>
          </w:p>
          <w:p w14:paraId="189A0321" w14:textId="662BB34C" w:rsidR="00122B36" w:rsidRPr="00BD64FE" w:rsidRDefault="00122B36" w:rsidP="00122B36">
            <w:pPr>
              <w:pStyle w:val="NormlWeb"/>
              <w:spacing w:before="0" w:beforeAutospacing="0" w:after="0" w:afterAutospacing="0"/>
              <w:jc w:val="both"/>
              <w:rPr>
                <w:rFonts w:ascii="Century Schoolbook" w:hAnsi="Century Schoolbook"/>
                <w:color w:val="000000"/>
                <w:sz w:val="22"/>
                <w:szCs w:val="22"/>
              </w:rPr>
            </w:pPr>
            <w:r w:rsidRPr="00BD64FE">
              <w:rPr>
                <w:rFonts w:ascii="Century Schoolbook" w:hAnsi="Century Schoolbook"/>
                <w:color w:val="000000"/>
                <w:sz w:val="22"/>
                <w:szCs w:val="22"/>
              </w:rPr>
              <w:t>Along with discussion of the rules, students may also be interested in exploring topics such as (i) language barriers in international matters (different counsels in one proceeding); (ii) risks of legal cultural differences (the content of each but the same legal terms? What the real tasks of counsels and arbitration are in this area); (iii) the varied approaches to experts and witnesses coming from different countries; and (iv) the appraiser of evidence (documents).</w:t>
            </w:r>
            <w:r w:rsidRPr="00BD64FE">
              <w:rPr>
                <w:rStyle w:val="apple-converted-space"/>
                <w:rFonts w:ascii="Century Schoolbook" w:hAnsi="Century Schoolbook"/>
                <w:color w:val="000000"/>
                <w:sz w:val="22"/>
                <w:szCs w:val="22"/>
              </w:rPr>
              <w:t> </w:t>
            </w:r>
          </w:p>
          <w:p w14:paraId="6776BC3D" w14:textId="77777777" w:rsidR="00122B36" w:rsidRPr="00BD64FE" w:rsidRDefault="00122B36" w:rsidP="00122B36">
            <w:pPr>
              <w:pStyle w:val="NormlWeb"/>
              <w:spacing w:before="0" w:beforeAutospacing="0" w:after="0" w:afterAutospacing="0"/>
              <w:jc w:val="both"/>
              <w:rPr>
                <w:rFonts w:ascii="Century Schoolbook" w:hAnsi="Century Schoolbook"/>
                <w:color w:val="000000"/>
                <w:sz w:val="22"/>
                <w:szCs w:val="22"/>
              </w:rPr>
            </w:pPr>
            <w:r w:rsidRPr="00BD64FE">
              <w:rPr>
                <w:rFonts w:ascii="Century Schoolbook" w:hAnsi="Century Schoolbook"/>
                <w:color w:val="000000"/>
                <w:sz w:val="22"/>
                <w:szCs w:val="22"/>
              </w:rPr>
              <w:t> </w:t>
            </w:r>
          </w:p>
          <w:p w14:paraId="5120534A" w14:textId="77777777" w:rsidR="00122B36" w:rsidRPr="00BD64FE" w:rsidRDefault="00122B36" w:rsidP="00122B36">
            <w:pPr>
              <w:pStyle w:val="NormlWeb"/>
              <w:spacing w:before="0" w:beforeAutospacing="0" w:after="0" w:afterAutospacing="0"/>
              <w:jc w:val="both"/>
              <w:rPr>
                <w:rFonts w:ascii="Century Schoolbook" w:hAnsi="Century Schoolbook"/>
                <w:color w:val="000000"/>
                <w:sz w:val="22"/>
                <w:szCs w:val="22"/>
              </w:rPr>
            </w:pPr>
            <w:r w:rsidRPr="00BD64FE">
              <w:rPr>
                <w:rFonts w:ascii="Century Schoolbook" w:hAnsi="Century Schoolbook"/>
                <w:color w:val="000000"/>
                <w:sz w:val="22"/>
                <w:szCs w:val="22"/>
              </w:rPr>
              <w:t>Needless to say, further discussions would include expectations in the proceedings of common law and continental law counsels and the solution thereof, as well as the review of the applicable rules on precedents and functional demonstration.</w:t>
            </w:r>
          </w:p>
          <w:p w14:paraId="6B8D0304" w14:textId="45365559" w:rsidR="0013685C" w:rsidRPr="00BD64FE" w:rsidRDefault="0013685C" w:rsidP="00B91483">
            <w:pPr>
              <w:autoSpaceDE w:val="0"/>
              <w:autoSpaceDN w:val="0"/>
              <w:adjustRightInd w:val="0"/>
              <w:jc w:val="both"/>
              <w:rPr>
                <w:rStyle w:val="Hiperhivatkozs"/>
                <w:rFonts w:ascii="Century Schoolbook" w:eastAsia="MS Mincho" w:hAnsi="Century Schoolbook" w:cs="Times New Roman"/>
                <w:b/>
                <w:bCs/>
                <w:color w:val="auto"/>
                <w:u w:val="none"/>
              </w:rPr>
            </w:pPr>
          </w:p>
        </w:tc>
      </w:tr>
      <w:tr w:rsidR="0013685C" w:rsidRPr="00BD64FE" w14:paraId="3A0A4B71" w14:textId="1BB992B0" w:rsidTr="0013685C">
        <w:trPr>
          <w:trHeight w:val="2211"/>
        </w:trPr>
        <w:tc>
          <w:tcPr>
            <w:tcW w:w="3823" w:type="dxa"/>
          </w:tcPr>
          <w:p w14:paraId="496EC863" w14:textId="77777777" w:rsidR="0013685C" w:rsidRPr="00BD64FE" w:rsidRDefault="0013685C" w:rsidP="00B91483">
            <w:pPr>
              <w:autoSpaceDE w:val="0"/>
              <w:autoSpaceDN w:val="0"/>
              <w:adjustRightInd w:val="0"/>
              <w:jc w:val="both"/>
              <w:rPr>
                <w:rFonts w:ascii="Century Schoolbook" w:eastAsia="MS Mincho" w:hAnsi="Century Schoolbook" w:cs="Times New Roman"/>
                <w:b/>
                <w:bCs/>
                <w:lang w:val="en-US"/>
              </w:rPr>
            </w:pPr>
            <w:r w:rsidRPr="00BD64FE">
              <w:rPr>
                <w:rFonts w:ascii="Century Schoolbook" w:eastAsia="MS Mincho" w:hAnsi="Century Schoolbook" w:cs="Times New Roman"/>
                <w:b/>
                <w:bCs/>
                <w:lang w:val="en-US"/>
              </w:rPr>
              <w:lastRenderedPageBreak/>
              <w:t>Schedule</w:t>
            </w:r>
          </w:p>
        </w:tc>
        <w:tc>
          <w:tcPr>
            <w:tcW w:w="5239" w:type="dxa"/>
          </w:tcPr>
          <w:p w14:paraId="3A0077CD" w14:textId="348160B8" w:rsidR="0013685C"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1</w:t>
            </w:r>
            <w:r w:rsidR="00122B36" w:rsidRPr="00BD64FE">
              <w:rPr>
                <w:rFonts w:ascii="Century Schoolbook" w:eastAsia="MS Mincho" w:hAnsi="Century Schoolbook" w:cs="Times New Roman"/>
                <w:lang w:val="en-US"/>
              </w:rPr>
              <w:t>. International arbitration and cross-border disputes – basic view</w:t>
            </w:r>
          </w:p>
          <w:p w14:paraId="1E96ED2B" w14:textId="6614B6A4"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2.</w:t>
            </w:r>
            <w:r w:rsidR="00122B36" w:rsidRPr="00BD64FE">
              <w:rPr>
                <w:rFonts w:ascii="Century Schoolbook" w:eastAsia="MS Mincho" w:hAnsi="Century Schoolbook" w:cs="Times New Roman"/>
                <w:lang w:val="en-US"/>
              </w:rPr>
              <w:t xml:space="preserve"> Treaties for cross-border disputes</w:t>
            </w:r>
          </w:p>
          <w:p w14:paraId="6EE4B147" w14:textId="676DCAE2"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3.</w:t>
            </w:r>
            <w:r w:rsidR="00122B36" w:rsidRPr="00BD64FE">
              <w:rPr>
                <w:rFonts w:ascii="Century Schoolbook" w:eastAsia="MS Mincho" w:hAnsi="Century Schoolbook" w:cs="Times New Roman"/>
                <w:lang w:val="en-US"/>
              </w:rPr>
              <w:t xml:space="preserve"> Agreement</w:t>
            </w:r>
            <w:r w:rsidR="00D15708">
              <w:rPr>
                <w:rFonts w:ascii="Century Schoolbook" w:eastAsia="MS Mincho" w:hAnsi="Century Schoolbook" w:cs="Times New Roman"/>
                <w:lang w:val="en-US"/>
              </w:rPr>
              <w:t>s (and lack of it)</w:t>
            </w:r>
            <w:r w:rsidR="00122B36" w:rsidRPr="00BD64FE">
              <w:rPr>
                <w:rFonts w:ascii="Century Schoolbook" w:eastAsia="MS Mincho" w:hAnsi="Century Schoolbook" w:cs="Times New Roman"/>
                <w:lang w:val="en-US"/>
              </w:rPr>
              <w:t xml:space="preserve"> amongst parties on disputes</w:t>
            </w:r>
          </w:p>
          <w:p w14:paraId="0B8B7BB1" w14:textId="66C2A470"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4.</w:t>
            </w:r>
            <w:r w:rsidR="00122B36" w:rsidRPr="00BD64FE">
              <w:rPr>
                <w:rFonts w:ascii="Century Schoolbook" w:eastAsia="MS Mincho" w:hAnsi="Century Schoolbook" w:cs="Times New Roman"/>
                <w:lang w:val="en-US"/>
              </w:rPr>
              <w:t xml:space="preserve"> Seat and place of the disputes and the applicable laws under the seat/place</w:t>
            </w:r>
          </w:p>
          <w:p w14:paraId="6E0753E4" w14:textId="7F6559C7"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5.</w:t>
            </w:r>
            <w:r w:rsidR="00122B36" w:rsidRPr="00BD64FE">
              <w:rPr>
                <w:rFonts w:ascii="Century Schoolbook" w:eastAsia="MS Mincho" w:hAnsi="Century Schoolbook" w:cs="Times New Roman"/>
                <w:lang w:val="en-US"/>
              </w:rPr>
              <w:t xml:space="preserve">  Arbitrators, judges, counsels</w:t>
            </w:r>
          </w:p>
          <w:p w14:paraId="146C6283" w14:textId="7A0D2866"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6.</w:t>
            </w:r>
            <w:r w:rsidR="00122B36" w:rsidRPr="00BD64FE">
              <w:rPr>
                <w:rFonts w:ascii="Century Schoolbook" w:eastAsia="MS Mincho" w:hAnsi="Century Schoolbook" w:cs="Times New Roman"/>
                <w:lang w:val="en-US"/>
              </w:rPr>
              <w:t xml:space="preserve"> Procedural rules for the institute</w:t>
            </w:r>
            <w:r w:rsidR="00D15708">
              <w:rPr>
                <w:rFonts w:ascii="Century Schoolbook" w:eastAsia="MS Mincho" w:hAnsi="Century Schoolbook" w:cs="Times New Roman"/>
                <w:lang w:val="en-US"/>
              </w:rPr>
              <w:t>s</w:t>
            </w:r>
            <w:r w:rsidR="00122B36" w:rsidRPr="00BD64FE">
              <w:rPr>
                <w:rFonts w:ascii="Century Schoolbook" w:eastAsia="MS Mincho" w:hAnsi="Century Schoolbook" w:cs="Times New Roman"/>
                <w:lang w:val="en-US"/>
              </w:rPr>
              <w:t xml:space="preserve"> and </w:t>
            </w:r>
            <w:r w:rsidR="00BD64FE" w:rsidRPr="00BD64FE">
              <w:rPr>
                <w:rFonts w:ascii="Century Schoolbook" w:eastAsia="MS Mincho" w:hAnsi="Century Schoolbook" w:cs="Times New Roman"/>
                <w:lang w:val="en-US"/>
              </w:rPr>
              <w:t>practices</w:t>
            </w:r>
            <w:r w:rsidR="00122B36" w:rsidRPr="00BD64FE">
              <w:rPr>
                <w:rFonts w:ascii="Century Schoolbook" w:eastAsia="MS Mincho" w:hAnsi="Century Schoolbook" w:cs="Times New Roman"/>
                <w:lang w:val="en-US"/>
              </w:rPr>
              <w:t xml:space="preserve"> for cooperation of counsels in multip</w:t>
            </w:r>
            <w:r w:rsidR="00BD64FE" w:rsidRPr="00BD64FE">
              <w:rPr>
                <w:rFonts w:ascii="Century Schoolbook" w:eastAsia="MS Mincho" w:hAnsi="Century Schoolbook" w:cs="Times New Roman"/>
                <w:lang w:val="en-US"/>
              </w:rPr>
              <w:t>le jurisdictions</w:t>
            </w:r>
          </w:p>
          <w:p w14:paraId="318C190E" w14:textId="238CAA5D"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7.</w:t>
            </w:r>
            <w:r w:rsidR="00BD64FE" w:rsidRPr="00BD64FE">
              <w:rPr>
                <w:rFonts w:ascii="Century Schoolbook" w:eastAsia="MS Mincho" w:hAnsi="Century Schoolbook" w:cs="Times New Roman"/>
                <w:lang w:val="en-US"/>
              </w:rPr>
              <w:t xml:space="preserve"> Emergency matters</w:t>
            </w:r>
          </w:p>
          <w:p w14:paraId="2B6A7208" w14:textId="2E8FF5D2"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8.</w:t>
            </w:r>
            <w:r w:rsidR="00BD64FE" w:rsidRPr="00BD64FE">
              <w:rPr>
                <w:rFonts w:ascii="Century Schoolbook" w:eastAsia="MS Mincho" w:hAnsi="Century Schoolbook" w:cs="Times New Roman"/>
                <w:lang w:val="en-US"/>
              </w:rPr>
              <w:t xml:space="preserve"> Evidence and consideration thereof</w:t>
            </w:r>
          </w:p>
          <w:p w14:paraId="0F2B1A0B" w14:textId="3F4A4E56"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9.</w:t>
            </w:r>
            <w:r w:rsidR="00BD64FE" w:rsidRPr="00BD64FE">
              <w:rPr>
                <w:rFonts w:ascii="Century Schoolbook" w:eastAsia="MS Mincho" w:hAnsi="Century Schoolbook" w:cs="Times New Roman"/>
                <w:lang w:val="en-US"/>
              </w:rPr>
              <w:t xml:space="preserve"> Procedural milestones</w:t>
            </w:r>
          </w:p>
          <w:p w14:paraId="0A09F399" w14:textId="7A67660C"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10.</w:t>
            </w:r>
            <w:r w:rsidR="00BD64FE" w:rsidRPr="00BD64FE">
              <w:rPr>
                <w:rFonts w:ascii="Century Schoolbook" w:eastAsia="MS Mincho" w:hAnsi="Century Schoolbook" w:cs="Times New Roman"/>
                <w:lang w:val="en-US"/>
              </w:rPr>
              <w:t xml:space="preserve"> Decision, judgment and award</w:t>
            </w:r>
          </w:p>
          <w:p w14:paraId="393D2282" w14:textId="56E3500B" w:rsidR="00843161" w:rsidRPr="00BD64FE" w:rsidRDefault="00843161" w:rsidP="00B91483">
            <w:pPr>
              <w:autoSpaceDE w:val="0"/>
              <w:autoSpaceDN w:val="0"/>
              <w:adjustRightInd w:val="0"/>
              <w:jc w:val="both"/>
              <w:rPr>
                <w:rFonts w:ascii="Century Schoolbook" w:eastAsia="MS Mincho" w:hAnsi="Century Schoolbook" w:cs="Times New Roman"/>
                <w:lang w:val="en-US"/>
              </w:rPr>
            </w:pPr>
            <w:r w:rsidRPr="00BD64FE">
              <w:rPr>
                <w:rFonts w:ascii="Century Schoolbook" w:eastAsia="MS Mincho" w:hAnsi="Century Schoolbook" w:cs="Times New Roman"/>
                <w:lang w:val="en-US"/>
              </w:rPr>
              <w:t>11.</w:t>
            </w:r>
            <w:r w:rsidR="00BD64FE" w:rsidRPr="00BD64FE">
              <w:rPr>
                <w:rFonts w:ascii="Century Schoolbook" w:eastAsia="MS Mincho" w:hAnsi="Century Schoolbook" w:cs="Times New Roman"/>
                <w:lang w:val="en-US"/>
              </w:rPr>
              <w:t xml:space="preserve"> Enforcement</w:t>
            </w:r>
          </w:p>
        </w:tc>
      </w:tr>
      <w:tr w:rsidR="0013685C" w:rsidRPr="00BD64FE" w14:paraId="001653A9" w14:textId="7961B462" w:rsidTr="0013685C">
        <w:trPr>
          <w:trHeight w:val="2211"/>
        </w:trPr>
        <w:tc>
          <w:tcPr>
            <w:tcW w:w="3823" w:type="dxa"/>
          </w:tcPr>
          <w:p w14:paraId="37FD00D9" w14:textId="77777777" w:rsidR="0013685C" w:rsidRPr="00BD64FE" w:rsidRDefault="0013685C" w:rsidP="00B91483">
            <w:pPr>
              <w:autoSpaceDE w:val="0"/>
              <w:autoSpaceDN w:val="0"/>
              <w:adjustRightInd w:val="0"/>
              <w:jc w:val="both"/>
              <w:rPr>
                <w:rFonts w:ascii="Century Schoolbook" w:eastAsia="MS Mincho" w:hAnsi="Century Schoolbook" w:cs="Times New Roman"/>
                <w:b/>
                <w:bCs/>
              </w:rPr>
            </w:pPr>
            <w:r w:rsidRPr="00BD64FE">
              <w:rPr>
                <w:rFonts w:ascii="Century Schoolbook" w:eastAsia="MS Mincho" w:hAnsi="Century Schoolbook" w:cs="Times New Roman"/>
                <w:b/>
                <w:bCs/>
              </w:rPr>
              <w:t>Materials/Recommended readings</w:t>
            </w:r>
          </w:p>
        </w:tc>
        <w:tc>
          <w:tcPr>
            <w:tcW w:w="5239" w:type="dxa"/>
          </w:tcPr>
          <w:p w14:paraId="15DDBC68" w14:textId="77777777" w:rsidR="00BD64FE" w:rsidRPr="00BD64FE" w:rsidRDefault="00BD64FE" w:rsidP="00BD64FE">
            <w:pPr>
              <w:pStyle w:val="Listaszerbekezds"/>
              <w:numPr>
                <w:ilvl w:val="0"/>
                <w:numId w:val="10"/>
              </w:numPr>
              <w:rPr>
                <w:rFonts w:ascii="Century Schoolbook" w:hAnsi="Century Schoolbook"/>
              </w:rPr>
            </w:pPr>
            <w:r w:rsidRPr="00BD64FE">
              <w:rPr>
                <w:rFonts w:ascii="Century Schoolbook" w:hAnsi="Century Schoolbook"/>
              </w:rPr>
              <w:t>Michael L. Moffitt and Robert C. Bordone: The Handbook of the Dispute Resolution (Harvard Law School, 2005)</w:t>
            </w:r>
          </w:p>
          <w:p w14:paraId="7691915C" w14:textId="77777777" w:rsidR="00BD64FE" w:rsidRPr="00BD64FE" w:rsidRDefault="00BD64FE" w:rsidP="00BD64FE">
            <w:pPr>
              <w:pStyle w:val="Listaszerbekezds"/>
              <w:numPr>
                <w:ilvl w:val="0"/>
                <w:numId w:val="10"/>
              </w:numPr>
              <w:rPr>
                <w:rFonts w:ascii="Century Schoolbook" w:hAnsi="Century Schoolbook"/>
              </w:rPr>
            </w:pPr>
            <w:r w:rsidRPr="00BD64FE">
              <w:rPr>
                <w:rFonts w:ascii="Century Schoolbook" w:hAnsi="Century Schoolbook"/>
              </w:rPr>
              <w:t>Gary B. Born: International Arbitration, Cases and materials (Wolters Kluwer, 2011)</w:t>
            </w:r>
          </w:p>
          <w:p w14:paraId="49827460" w14:textId="77777777" w:rsidR="00BD64FE" w:rsidRPr="00BD64FE" w:rsidRDefault="00BD64FE" w:rsidP="00BD64FE">
            <w:pPr>
              <w:pStyle w:val="Listaszerbekezds"/>
              <w:numPr>
                <w:ilvl w:val="0"/>
                <w:numId w:val="10"/>
              </w:numPr>
              <w:rPr>
                <w:rFonts w:ascii="Century Schoolbook" w:hAnsi="Century Schoolbook"/>
              </w:rPr>
            </w:pPr>
            <w:r w:rsidRPr="00BD64FE">
              <w:rPr>
                <w:rFonts w:ascii="Century Schoolbook" w:hAnsi="Century Schoolbook"/>
              </w:rPr>
              <w:t xml:space="preserve">Lawrence W. Newman and Rikki </w:t>
            </w:r>
            <w:proofErr w:type="spellStart"/>
            <w:r w:rsidRPr="00BD64FE">
              <w:rPr>
                <w:rFonts w:ascii="Century Schoolbook" w:hAnsi="Century Schoolbook"/>
              </w:rPr>
              <w:t>Klieman</w:t>
            </w:r>
            <w:proofErr w:type="spellEnd"/>
            <w:r w:rsidRPr="00BD64FE">
              <w:rPr>
                <w:rFonts w:ascii="Century Schoolbook" w:hAnsi="Century Schoolbook"/>
              </w:rPr>
              <w:t>: Take the witness: the experts speak in cross-examination (Juris Publishing, Inc., 2006)</w:t>
            </w:r>
          </w:p>
          <w:p w14:paraId="345207AB" w14:textId="3529986B" w:rsidR="0013685C" w:rsidRPr="00BD64FE" w:rsidRDefault="0013685C" w:rsidP="00B91483">
            <w:pPr>
              <w:autoSpaceDE w:val="0"/>
              <w:autoSpaceDN w:val="0"/>
              <w:adjustRightInd w:val="0"/>
              <w:jc w:val="both"/>
              <w:rPr>
                <w:rFonts w:ascii="Century Schoolbook" w:eastAsia="MS Mincho" w:hAnsi="Century Schoolbook" w:cs="Times New Roman"/>
                <w:b/>
                <w:bCs/>
              </w:rPr>
            </w:pPr>
          </w:p>
        </w:tc>
      </w:tr>
      <w:tr w:rsidR="0013685C" w:rsidRPr="00BD64FE" w14:paraId="172F0FFF" w14:textId="49FCEC89" w:rsidTr="00B52DED">
        <w:trPr>
          <w:trHeight w:val="951"/>
        </w:trPr>
        <w:tc>
          <w:tcPr>
            <w:tcW w:w="3823" w:type="dxa"/>
          </w:tcPr>
          <w:p w14:paraId="7394312A" w14:textId="77777777" w:rsidR="0013685C" w:rsidRPr="00BD64FE" w:rsidRDefault="0013685C" w:rsidP="00B91483">
            <w:pPr>
              <w:autoSpaceDE w:val="0"/>
              <w:autoSpaceDN w:val="0"/>
              <w:adjustRightInd w:val="0"/>
              <w:jc w:val="both"/>
              <w:rPr>
                <w:rFonts w:ascii="Century Schoolbook" w:eastAsia="MS Mincho" w:hAnsi="Century Schoolbook" w:cs="Times New Roman"/>
                <w:b/>
                <w:bCs/>
              </w:rPr>
            </w:pPr>
            <w:r w:rsidRPr="00BD64FE">
              <w:rPr>
                <w:rFonts w:ascii="Century Schoolbook" w:eastAsia="MS Mincho" w:hAnsi="Century Schoolbook" w:cs="Times New Roman"/>
                <w:b/>
                <w:bCs/>
              </w:rPr>
              <w:t>Assessment/Exam</w:t>
            </w:r>
          </w:p>
        </w:tc>
        <w:tc>
          <w:tcPr>
            <w:tcW w:w="5239" w:type="dxa"/>
          </w:tcPr>
          <w:p w14:paraId="070B0D34" w14:textId="21F8CC03" w:rsidR="0013685C" w:rsidRPr="00BD64FE" w:rsidRDefault="00BD64FE" w:rsidP="00B91483">
            <w:pPr>
              <w:autoSpaceDE w:val="0"/>
              <w:autoSpaceDN w:val="0"/>
              <w:adjustRightInd w:val="0"/>
              <w:jc w:val="both"/>
              <w:rPr>
                <w:rFonts w:ascii="Century Schoolbook" w:eastAsia="MS Mincho" w:hAnsi="Century Schoolbook" w:cs="Times New Roman"/>
              </w:rPr>
            </w:pPr>
            <w:r w:rsidRPr="00BD64FE">
              <w:rPr>
                <w:rFonts w:ascii="Century Schoolbook" w:eastAsia="MS Mincho" w:hAnsi="Century Schoolbook" w:cs="Times New Roman"/>
              </w:rPr>
              <w:t>Cross-examination of a potential witness</w:t>
            </w:r>
            <w:r>
              <w:rPr>
                <w:rFonts w:ascii="Century Schoolbook" w:eastAsia="MS Mincho" w:hAnsi="Century Schoolbook" w:cs="Times New Roman"/>
              </w:rPr>
              <w:t xml:space="preserve"> or expert.</w:t>
            </w:r>
          </w:p>
        </w:tc>
      </w:tr>
    </w:tbl>
    <w:p w14:paraId="42B17EC3" w14:textId="1B93AC40" w:rsidR="00AF6735" w:rsidRPr="00740F2E" w:rsidRDefault="00AF6735" w:rsidP="0013685C">
      <w:pPr>
        <w:autoSpaceDE w:val="0"/>
        <w:autoSpaceDN w:val="0"/>
        <w:adjustRightInd w:val="0"/>
        <w:spacing w:after="0" w:line="240" w:lineRule="auto"/>
        <w:jc w:val="both"/>
        <w:rPr>
          <w:rFonts w:ascii="Times New Roman" w:eastAsia="MS Mincho" w:hAnsi="Times New Roman" w:cs="Times New Roman"/>
          <w:b/>
          <w:bCs/>
          <w:sz w:val="24"/>
          <w:szCs w:val="24"/>
        </w:rPr>
      </w:pPr>
    </w:p>
    <w:sectPr w:rsidR="00AF6735" w:rsidRPr="00740F2E" w:rsidSect="00B74E3C">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9A366" w14:textId="77777777" w:rsidR="007142E0" w:rsidRDefault="007142E0" w:rsidP="006A3E9F">
      <w:pPr>
        <w:spacing w:after="0" w:line="240" w:lineRule="auto"/>
      </w:pPr>
      <w:r>
        <w:separator/>
      </w:r>
    </w:p>
  </w:endnote>
  <w:endnote w:type="continuationSeparator" w:id="0">
    <w:p w14:paraId="6B56BD2E" w14:textId="77777777" w:rsidR="007142E0" w:rsidRDefault="007142E0"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ramondLightHu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91319" w14:textId="77777777" w:rsidR="007142E0" w:rsidRDefault="007142E0" w:rsidP="006A3E9F">
      <w:pPr>
        <w:spacing w:after="0" w:line="240" w:lineRule="auto"/>
      </w:pPr>
      <w:r>
        <w:separator/>
      </w:r>
    </w:p>
  </w:footnote>
  <w:footnote w:type="continuationSeparator" w:id="0">
    <w:p w14:paraId="394DA45E" w14:textId="77777777" w:rsidR="007142E0" w:rsidRDefault="007142E0"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02D2" w14:textId="77777777" w:rsidR="00E16EE5" w:rsidRPr="00E16EE5" w:rsidRDefault="00E16EE5" w:rsidP="00E16EE5">
    <w:pPr>
      <w:tabs>
        <w:tab w:val="left" w:pos="142"/>
        <w:tab w:val="center" w:pos="4536"/>
        <w:tab w:val="right" w:pos="9072"/>
      </w:tabs>
      <w:spacing w:after="0" w:line="240" w:lineRule="auto"/>
      <w:rPr>
        <w:rFonts w:ascii="Cambria" w:eastAsia="MS Mincho" w:hAnsi="Cambria" w:cs="Times New Roman"/>
        <w:sz w:val="24"/>
        <w:szCs w:val="24"/>
        <w:lang w:val="en-US"/>
      </w:rPr>
    </w:pPr>
    <w:r w:rsidRPr="00E16EE5">
      <w:rPr>
        <w:rFonts w:ascii="Cambria" w:eastAsia="MS Mincho" w:hAnsi="Cambria" w:cs="Times New Roman"/>
        <w:noProof/>
        <w:sz w:val="24"/>
        <w:szCs w:val="24"/>
        <w:lang w:val="hu-HU" w:eastAsia="hu-HU"/>
      </w:rPr>
      <w:drawing>
        <wp:anchor distT="0" distB="0" distL="114300" distR="114300" simplePos="0" relativeHeight="251659264" behindDoc="0" locked="0" layoutInCell="1" allowOverlap="1" wp14:anchorId="5ED74951" wp14:editId="04247EBF">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DDB1F" w14:textId="77777777" w:rsidR="00E16EE5" w:rsidRPr="00E16EE5" w:rsidRDefault="00E16EE5" w:rsidP="00E16EE5">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rPr>
    </w:pPr>
    <w:r w:rsidRPr="00E16EE5">
      <w:rPr>
        <w:rFonts w:ascii="GaramondBookHun" w:eastAsia="MS Mincho" w:hAnsi="GaramondBookHun" w:cs="GaramondBoldHun"/>
        <w:b/>
        <w:bCs/>
        <w:color w:val="002626"/>
        <w:sz w:val="16"/>
        <w:szCs w:val="16"/>
      </w:rPr>
      <w:tab/>
    </w:r>
  </w:p>
  <w:p w14:paraId="3E4C343D" w14:textId="77777777" w:rsidR="00E16EE5" w:rsidRPr="00E16EE5" w:rsidRDefault="00E16EE5" w:rsidP="00E16EE5">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lang w:val="en-US"/>
      </w:rPr>
    </w:pPr>
    <w:r w:rsidRPr="00E16EE5">
      <w:rPr>
        <w:rFonts w:ascii="Garamond" w:eastAsia="Times New Roman" w:hAnsi="Garamond" w:cs="Times New Roman"/>
        <w:color w:val="3B3C3B"/>
        <w:sz w:val="16"/>
        <w:szCs w:val="16"/>
        <w:lang w:val="en-US"/>
      </w:rPr>
      <w:t>International Relations Office</w:t>
    </w:r>
  </w:p>
  <w:p w14:paraId="0C7CEB4B" w14:textId="77777777" w:rsidR="00E16EE5" w:rsidRPr="00E16EE5" w:rsidRDefault="00E16EE5" w:rsidP="00E16EE5">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proofErr w:type="spellStart"/>
    <w:proofErr w:type="gramStart"/>
    <w:r w:rsidRPr="00E16EE5">
      <w:rPr>
        <w:rFonts w:ascii="Garamond" w:eastAsia="Times New Roman" w:hAnsi="Garamond" w:cs="GaramondLightHun"/>
        <w:color w:val="3B3C3B"/>
        <w:sz w:val="16"/>
        <w:szCs w:val="16"/>
        <w:lang w:val="en-US"/>
      </w:rPr>
      <w:t>tel</w:t>
    </w:r>
    <w:proofErr w:type="spellEnd"/>
    <w:proofErr w:type="gramEnd"/>
    <w:r w:rsidRPr="00E16EE5">
      <w:rPr>
        <w:rFonts w:ascii="Garamond" w:eastAsia="Times New Roman" w:hAnsi="Garamond" w:cs="GaramondLightHun"/>
        <w:color w:val="3B3C3B"/>
        <w:sz w:val="16"/>
        <w:szCs w:val="16"/>
        <w:lang w:val="en-US"/>
      </w:rPr>
      <w:t xml:space="preserve"> +36 1 483 8015</w:t>
    </w:r>
  </w:p>
  <w:p w14:paraId="2F5B5BA3" w14:textId="77777777" w:rsidR="00E16EE5" w:rsidRPr="00E16EE5" w:rsidRDefault="00E16EE5" w:rsidP="00E16EE5">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r w:rsidRPr="00E16EE5">
      <w:rPr>
        <w:rFonts w:ascii="Garamond" w:eastAsia="Times New Roman" w:hAnsi="Garamond" w:cs="GaramondLightHun"/>
        <w:color w:val="3B3C3B"/>
        <w:sz w:val="16"/>
        <w:szCs w:val="16"/>
        <w:lang w:val="en-US"/>
      </w:rPr>
      <w:t>incoming@ajk.elte.hu</w:t>
    </w:r>
  </w:p>
  <w:p w14:paraId="5E622F47" w14:textId="46C4FA74" w:rsidR="00B74E3C" w:rsidRDefault="00B74E3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B4E2EAD"/>
    <w:multiLevelType w:val="hybridMultilevel"/>
    <w:tmpl w:val="CE984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56583D9F"/>
    <w:multiLevelType w:val="hybridMultilevel"/>
    <w:tmpl w:val="AB22D7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9C77A33"/>
    <w:multiLevelType w:val="hybridMultilevel"/>
    <w:tmpl w:val="1A8CC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CC65BAB"/>
    <w:multiLevelType w:val="hybridMultilevel"/>
    <w:tmpl w:val="D25E12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E034747"/>
    <w:multiLevelType w:val="hybridMultilevel"/>
    <w:tmpl w:val="005626E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1"/>
  </w:num>
  <w:num w:numId="7">
    <w:abstractNumId w:val="7"/>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A54A2"/>
    <w:rsid w:val="000B1D44"/>
    <w:rsid w:val="000E6630"/>
    <w:rsid w:val="00122B14"/>
    <w:rsid w:val="00122B36"/>
    <w:rsid w:val="001241F1"/>
    <w:rsid w:val="0013685C"/>
    <w:rsid w:val="00150056"/>
    <w:rsid w:val="00154A91"/>
    <w:rsid w:val="00171E0F"/>
    <w:rsid w:val="00177C40"/>
    <w:rsid w:val="001B3B3C"/>
    <w:rsid w:val="001E7DE8"/>
    <w:rsid w:val="0020010E"/>
    <w:rsid w:val="002105B1"/>
    <w:rsid w:val="00214377"/>
    <w:rsid w:val="00257A5E"/>
    <w:rsid w:val="0026453B"/>
    <w:rsid w:val="00275162"/>
    <w:rsid w:val="002A7467"/>
    <w:rsid w:val="002B2437"/>
    <w:rsid w:val="002C5780"/>
    <w:rsid w:val="002D4CE3"/>
    <w:rsid w:val="002F4EDE"/>
    <w:rsid w:val="00314EEA"/>
    <w:rsid w:val="00326BDD"/>
    <w:rsid w:val="00347A6B"/>
    <w:rsid w:val="00375825"/>
    <w:rsid w:val="003D6FD0"/>
    <w:rsid w:val="004459A6"/>
    <w:rsid w:val="00462CEF"/>
    <w:rsid w:val="00464EDA"/>
    <w:rsid w:val="0047089D"/>
    <w:rsid w:val="004C71B7"/>
    <w:rsid w:val="004E18B0"/>
    <w:rsid w:val="004E509C"/>
    <w:rsid w:val="005122B1"/>
    <w:rsid w:val="005155A0"/>
    <w:rsid w:val="00556081"/>
    <w:rsid w:val="00575FBE"/>
    <w:rsid w:val="005A64D8"/>
    <w:rsid w:val="00660BBE"/>
    <w:rsid w:val="006A00EE"/>
    <w:rsid w:val="006A370D"/>
    <w:rsid w:val="006A3E9F"/>
    <w:rsid w:val="006B41A4"/>
    <w:rsid w:val="0070193A"/>
    <w:rsid w:val="007142E0"/>
    <w:rsid w:val="00724AC9"/>
    <w:rsid w:val="007258B7"/>
    <w:rsid w:val="007317AD"/>
    <w:rsid w:val="00734076"/>
    <w:rsid w:val="00740F2E"/>
    <w:rsid w:val="007563EA"/>
    <w:rsid w:val="00773181"/>
    <w:rsid w:val="0077573E"/>
    <w:rsid w:val="00794C2C"/>
    <w:rsid w:val="007A40F6"/>
    <w:rsid w:val="007A4D5A"/>
    <w:rsid w:val="007C4AA8"/>
    <w:rsid w:val="007E1F1F"/>
    <w:rsid w:val="00843161"/>
    <w:rsid w:val="008759F5"/>
    <w:rsid w:val="008B251A"/>
    <w:rsid w:val="008C6F6E"/>
    <w:rsid w:val="008E206F"/>
    <w:rsid w:val="008E334E"/>
    <w:rsid w:val="008F4789"/>
    <w:rsid w:val="00907F12"/>
    <w:rsid w:val="0093128C"/>
    <w:rsid w:val="00942596"/>
    <w:rsid w:val="00957CD4"/>
    <w:rsid w:val="00970042"/>
    <w:rsid w:val="00987F31"/>
    <w:rsid w:val="009A2832"/>
    <w:rsid w:val="009D7326"/>
    <w:rsid w:val="00A054C2"/>
    <w:rsid w:val="00A24E3E"/>
    <w:rsid w:val="00A34386"/>
    <w:rsid w:val="00A40DF6"/>
    <w:rsid w:val="00A66710"/>
    <w:rsid w:val="00AF6735"/>
    <w:rsid w:val="00B1106A"/>
    <w:rsid w:val="00B5054D"/>
    <w:rsid w:val="00B52DED"/>
    <w:rsid w:val="00B6676D"/>
    <w:rsid w:val="00B74E3C"/>
    <w:rsid w:val="00B9260F"/>
    <w:rsid w:val="00BA3AB1"/>
    <w:rsid w:val="00BA6A21"/>
    <w:rsid w:val="00BB13A8"/>
    <w:rsid w:val="00BD64FE"/>
    <w:rsid w:val="00C0178E"/>
    <w:rsid w:val="00C17BC8"/>
    <w:rsid w:val="00C37386"/>
    <w:rsid w:val="00C46A7C"/>
    <w:rsid w:val="00C6762B"/>
    <w:rsid w:val="00C8090E"/>
    <w:rsid w:val="00C8602E"/>
    <w:rsid w:val="00C87558"/>
    <w:rsid w:val="00C94228"/>
    <w:rsid w:val="00CA0C3F"/>
    <w:rsid w:val="00CB57FC"/>
    <w:rsid w:val="00CC4C2A"/>
    <w:rsid w:val="00CF4A2A"/>
    <w:rsid w:val="00CF6C52"/>
    <w:rsid w:val="00D04F62"/>
    <w:rsid w:val="00D15708"/>
    <w:rsid w:val="00D22F10"/>
    <w:rsid w:val="00D23617"/>
    <w:rsid w:val="00D33DDE"/>
    <w:rsid w:val="00D56591"/>
    <w:rsid w:val="00DA041C"/>
    <w:rsid w:val="00DA3812"/>
    <w:rsid w:val="00DF137E"/>
    <w:rsid w:val="00DF6828"/>
    <w:rsid w:val="00E0037E"/>
    <w:rsid w:val="00E16EE5"/>
    <w:rsid w:val="00E50966"/>
    <w:rsid w:val="00E90C54"/>
    <w:rsid w:val="00ED29E0"/>
    <w:rsid w:val="00EE36FF"/>
    <w:rsid w:val="00F13D45"/>
    <w:rsid w:val="00F41B04"/>
    <w:rsid w:val="00F65908"/>
    <w:rsid w:val="00F864F7"/>
    <w:rsid w:val="00F91CB8"/>
    <w:rsid w:val="00F93DFE"/>
    <w:rsid w:val="00FB4D28"/>
    <w:rsid w:val="00FB4DA0"/>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912B6B"/>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rPr>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character" w:styleId="Mrltotthiperhivatkozs">
    <w:name w:val="FollowedHyperlink"/>
    <w:basedOn w:val="Bekezdsalapbettpusa"/>
    <w:uiPriority w:val="99"/>
    <w:semiHidden/>
    <w:unhideWhenUsed/>
    <w:rsid w:val="00F13D45"/>
    <w:rPr>
      <w:color w:val="954F72" w:themeColor="followedHyperlink"/>
      <w:u w:val="single"/>
    </w:rPr>
  </w:style>
  <w:style w:type="paragraph" w:styleId="Buborkszveg">
    <w:name w:val="Balloon Text"/>
    <w:basedOn w:val="Norml"/>
    <w:link w:val="BuborkszvegChar"/>
    <w:uiPriority w:val="99"/>
    <w:semiHidden/>
    <w:unhideWhenUsed/>
    <w:rsid w:val="00B5054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054D"/>
    <w:rPr>
      <w:rFonts w:ascii="Segoe UI" w:hAnsi="Segoe UI" w:cs="Segoe UI"/>
      <w:sz w:val="18"/>
      <w:szCs w:val="18"/>
    </w:rPr>
  </w:style>
  <w:style w:type="character" w:styleId="Jegyzethivatkozs">
    <w:name w:val="annotation reference"/>
    <w:basedOn w:val="Bekezdsalapbettpusa"/>
    <w:uiPriority w:val="99"/>
    <w:semiHidden/>
    <w:unhideWhenUsed/>
    <w:rsid w:val="009A2832"/>
    <w:rPr>
      <w:sz w:val="16"/>
      <w:szCs w:val="16"/>
    </w:rPr>
  </w:style>
  <w:style w:type="paragraph" w:styleId="Jegyzetszveg">
    <w:name w:val="annotation text"/>
    <w:basedOn w:val="Norml"/>
    <w:link w:val="JegyzetszvegChar"/>
    <w:uiPriority w:val="99"/>
    <w:semiHidden/>
    <w:unhideWhenUsed/>
    <w:rsid w:val="009A2832"/>
    <w:pPr>
      <w:spacing w:line="240" w:lineRule="auto"/>
    </w:pPr>
    <w:rPr>
      <w:sz w:val="20"/>
      <w:szCs w:val="20"/>
    </w:rPr>
  </w:style>
  <w:style w:type="character" w:customStyle="1" w:styleId="JegyzetszvegChar">
    <w:name w:val="Jegyzetszöveg Char"/>
    <w:basedOn w:val="Bekezdsalapbettpusa"/>
    <w:link w:val="Jegyzetszveg"/>
    <w:uiPriority w:val="99"/>
    <w:semiHidden/>
    <w:rsid w:val="009A2832"/>
    <w:rPr>
      <w:sz w:val="20"/>
      <w:szCs w:val="20"/>
    </w:rPr>
  </w:style>
  <w:style w:type="paragraph" w:styleId="Megjegyzstrgya">
    <w:name w:val="annotation subject"/>
    <w:basedOn w:val="Jegyzetszveg"/>
    <w:next w:val="Jegyzetszveg"/>
    <w:link w:val="MegjegyzstrgyaChar"/>
    <w:uiPriority w:val="99"/>
    <w:semiHidden/>
    <w:unhideWhenUsed/>
    <w:rsid w:val="009A2832"/>
    <w:rPr>
      <w:b/>
      <w:bCs/>
    </w:rPr>
  </w:style>
  <w:style w:type="character" w:customStyle="1" w:styleId="MegjegyzstrgyaChar">
    <w:name w:val="Megjegyzés tárgya Char"/>
    <w:basedOn w:val="JegyzetszvegChar"/>
    <w:link w:val="Megjegyzstrgya"/>
    <w:uiPriority w:val="99"/>
    <w:semiHidden/>
    <w:rsid w:val="009A2832"/>
    <w:rPr>
      <w:b/>
      <w:bCs/>
      <w:sz w:val="20"/>
      <w:szCs w:val="20"/>
    </w:rPr>
  </w:style>
  <w:style w:type="character" w:customStyle="1" w:styleId="Feloldatlanmegemlts1">
    <w:name w:val="Feloldatlan megemlítés1"/>
    <w:basedOn w:val="Bekezdsalapbettpusa"/>
    <w:uiPriority w:val="99"/>
    <w:semiHidden/>
    <w:unhideWhenUsed/>
    <w:rsid w:val="007C4AA8"/>
    <w:rPr>
      <w:color w:val="605E5C"/>
      <w:shd w:val="clear" w:color="auto" w:fill="E1DFDD"/>
    </w:rPr>
  </w:style>
  <w:style w:type="table" w:styleId="Rcsostblzat">
    <w:name w:val="Table Grid"/>
    <w:basedOn w:val="Normltblzat"/>
    <w:uiPriority w:val="39"/>
    <w:rsid w:val="0013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122B3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122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0848">
      <w:bodyDiv w:val="1"/>
      <w:marLeft w:val="0"/>
      <w:marRight w:val="0"/>
      <w:marTop w:val="0"/>
      <w:marBottom w:val="0"/>
      <w:divBdr>
        <w:top w:val="none" w:sz="0" w:space="0" w:color="auto"/>
        <w:left w:val="none" w:sz="0" w:space="0" w:color="auto"/>
        <w:bottom w:val="none" w:sz="0" w:space="0" w:color="auto"/>
        <w:right w:val="none" w:sz="0" w:space="0" w:color="auto"/>
      </w:divBdr>
      <w:divsChild>
        <w:div w:id="920481400">
          <w:marLeft w:val="0"/>
          <w:marRight w:val="0"/>
          <w:marTop w:val="0"/>
          <w:marBottom w:val="0"/>
          <w:divBdr>
            <w:top w:val="none" w:sz="0" w:space="0" w:color="auto"/>
            <w:left w:val="none" w:sz="0" w:space="0" w:color="auto"/>
            <w:bottom w:val="none" w:sz="0" w:space="0" w:color="auto"/>
            <w:right w:val="none" w:sz="0" w:space="0" w:color="auto"/>
          </w:divBdr>
        </w:div>
      </w:divsChild>
    </w:div>
    <w:div w:id="407310932">
      <w:bodyDiv w:val="1"/>
      <w:marLeft w:val="0"/>
      <w:marRight w:val="0"/>
      <w:marTop w:val="0"/>
      <w:marBottom w:val="0"/>
      <w:divBdr>
        <w:top w:val="none" w:sz="0" w:space="0" w:color="auto"/>
        <w:left w:val="none" w:sz="0" w:space="0" w:color="auto"/>
        <w:bottom w:val="none" w:sz="0" w:space="0" w:color="auto"/>
        <w:right w:val="none" w:sz="0" w:space="0" w:color="auto"/>
      </w:divBdr>
      <w:divsChild>
        <w:div w:id="73430417">
          <w:marLeft w:val="0"/>
          <w:marRight w:val="0"/>
          <w:marTop w:val="45"/>
          <w:marBottom w:val="0"/>
          <w:divBdr>
            <w:top w:val="none" w:sz="0" w:space="0" w:color="auto"/>
            <w:left w:val="none" w:sz="0" w:space="0" w:color="auto"/>
            <w:bottom w:val="none" w:sz="0" w:space="0" w:color="auto"/>
            <w:right w:val="none" w:sz="0" w:space="0" w:color="auto"/>
          </w:divBdr>
        </w:div>
        <w:div w:id="1406730247">
          <w:marLeft w:val="225"/>
          <w:marRight w:val="150"/>
          <w:marTop w:val="150"/>
          <w:marBottom w:val="150"/>
          <w:divBdr>
            <w:top w:val="none" w:sz="0" w:space="0" w:color="auto"/>
            <w:left w:val="none" w:sz="0" w:space="0" w:color="auto"/>
            <w:bottom w:val="none" w:sz="0" w:space="0" w:color="auto"/>
            <w:right w:val="none" w:sz="0" w:space="0" w:color="auto"/>
          </w:divBdr>
        </w:div>
      </w:divsChild>
    </w:div>
    <w:div w:id="562259894">
      <w:bodyDiv w:val="1"/>
      <w:marLeft w:val="0"/>
      <w:marRight w:val="0"/>
      <w:marTop w:val="0"/>
      <w:marBottom w:val="0"/>
      <w:divBdr>
        <w:top w:val="none" w:sz="0" w:space="0" w:color="auto"/>
        <w:left w:val="none" w:sz="0" w:space="0" w:color="auto"/>
        <w:bottom w:val="none" w:sz="0" w:space="0" w:color="auto"/>
        <w:right w:val="none" w:sz="0" w:space="0" w:color="auto"/>
      </w:divBdr>
      <w:divsChild>
        <w:div w:id="1400982614">
          <w:marLeft w:val="0"/>
          <w:marRight w:val="0"/>
          <w:marTop w:val="0"/>
          <w:marBottom w:val="0"/>
          <w:divBdr>
            <w:top w:val="none" w:sz="0" w:space="0" w:color="auto"/>
            <w:left w:val="none" w:sz="0" w:space="0" w:color="auto"/>
            <w:bottom w:val="none" w:sz="0" w:space="0" w:color="auto"/>
            <w:right w:val="none" w:sz="0" w:space="0" w:color="auto"/>
          </w:divBdr>
        </w:div>
      </w:divsChild>
    </w:div>
    <w:div w:id="767313525">
      <w:bodyDiv w:val="1"/>
      <w:marLeft w:val="0"/>
      <w:marRight w:val="0"/>
      <w:marTop w:val="0"/>
      <w:marBottom w:val="0"/>
      <w:divBdr>
        <w:top w:val="none" w:sz="0" w:space="0" w:color="auto"/>
        <w:left w:val="none" w:sz="0" w:space="0" w:color="auto"/>
        <w:bottom w:val="none" w:sz="0" w:space="0" w:color="auto"/>
        <w:right w:val="none" w:sz="0" w:space="0" w:color="auto"/>
      </w:divBdr>
      <w:divsChild>
        <w:div w:id="1953394017">
          <w:marLeft w:val="0"/>
          <w:marRight w:val="0"/>
          <w:marTop w:val="45"/>
          <w:marBottom w:val="0"/>
          <w:divBdr>
            <w:top w:val="none" w:sz="0" w:space="0" w:color="auto"/>
            <w:left w:val="none" w:sz="0" w:space="0" w:color="auto"/>
            <w:bottom w:val="none" w:sz="0" w:space="0" w:color="auto"/>
            <w:right w:val="none" w:sz="0" w:space="0" w:color="auto"/>
          </w:divBdr>
        </w:div>
        <w:div w:id="1153447951">
          <w:marLeft w:val="225"/>
          <w:marRight w:val="150"/>
          <w:marTop w:val="150"/>
          <w:marBottom w:val="150"/>
          <w:divBdr>
            <w:top w:val="none" w:sz="0" w:space="0" w:color="auto"/>
            <w:left w:val="none" w:sz="0" w:space="0" w:color="auto"/>
            <w:bottom w:val="none" w:sz="0" w:space="0" w:color="auto"/>
            <w:right w:val="none" w:sz="0" w:space="0" w:color="auto"/>
          </w:divBdr>
        </w:div>
      </w:divsChild>
    </w:div>
    <w:div w:id="845748917">
      <w:bodyDiv w:val="1"/>
      <w:marLeft w:val="0"/>
      <w:marRight w:val="0"/>
      <w:marTop w:val="0"/>
      <w:marBottom w:val="0"/>
      <w:divBdr>
        <w:top w:val="none" w:sz="0" w:space="0" w:color="auto"/>
        <w:left w:val="none" w:sz="0" w:space="0" w:color="auto"/>
        <w:bottom w:val="none" w:sz="0" w:space="0" w:color="auto"/>
        <w:right w:val="none" w:sz="0" w:space="0" w:color="auto"/>
      </w:divBdr>
      <w:divsChild>
        <w:div w:id="485516089">
          <w:marLeft w:val="0"/>
          <w:marRight w:val="0"/>
          <w:marTop w:val="0"/>
          <w:marBottom w:val="0"/>
          <w:divBdr>
            <w:top w:val="none" w:sz="0" w:space="0" w:color="auto"/>
            <w:left w:val="none" w:sz="0" w:space="0" w:color="auto"/>
            <w:bottom w:val="none" w:sz="0" w:space="0" w:color="auto"/>
            <w:right w:val="none" w:sz="0" w:space="0" w:color="auto"/>
          </w:divBdr>
        </w:div>
      </w:divsChild>
    </w:div>
    <w:div w:id="1367177571">
      <w:bodyDiv w:val="1"/>
      <w:marLeft w:val="0"/>
      <w:marRight w:val="0"/>
      <w:marTop w:val="0"/>
      <w:marBottom w:val="0"/>
      <w:divBdr>
        <w:top w:val="none" w:sz="0" w:space="0" w:color="auto"/>
        <w:left w:val="none" w:sz="0" w:space="0" w:color="auto"/>
        <w:bottom w:val="none" w:sz="0" w:space="0" w:color="auto"/>
        <w:right w:val="none" w:sz="0" w:space="0" w:color="auto"/>
      </w:divBdr>
      <w:divsChild>
        <w:div w:id="1972712457">
          <w:marLeft w:val="0"/>
          <w:marRight w:val="0"/>
          <w:marTop w:val="0"/>
          <w:marBottom w:val="0"/>
          <w:divBdr>
            <w:top w:val="none" w:sz="0" w:space="0" w:color="auto"/>
            <w:left w:val="none" w:sz="0" w:space="0" w:color="auto"/>
            <w:bottom w:val="none" w:sz="0" w:space="0" w:color="auto"/>
            <w:right w:val="none" w:sz="0" w:space="0" w:color="auto"/>
          </w:divBdr>
        </w:div>
      </w:divsChild>
    </w:div>
    <w:div w:id="2027361333">
      <w:bodyDiv w:val="1"/>
      <w:marLeft w:val="0"/>
      <w:marRight w:val="0"/>
      <w:marTop w:val="0"/>
      <w:marBottom w:val="0"/>
      <w:divBdr>
        <w:top w:val="none" w:sz="0" w:space="0" w:color="auto"/>
        <w:left w:val="none" w:sz="0" w:space="0" w:color="auto"/>
        <w:bottom w:val="none" w:sz="0" w:space="0" w:color="auto"/>
        <w:right w:val="none" w:sz="0" w:space="0" w:color="auto"/>
      </w:divBdr>
      <w:divsChild>
        <w:div w:id="640379387">
          <w:marLeft w:val="0"/>
          <w:marRight w:val="0"/>
          <w:marTop w:val="0"/>
          <w:marBottom w:val="0"/>
          <w:divBdr>
            <w:top w:val="none" w:sz="0" w:space="0" w:color="auto"/>
            <w:left w:val="none" w:sz="0" w:space="0" w:color="auto"/>
            <w:bottom w:val="none" w:sz="0" w:space="0" w:color="auto"/>
            <w:right w:val="none" w:sz="0" w:space="0" w:color="auto"/>
          </w:divBdr>
        </w:div>
      </w:divsChild>
    </w:div>
    <w:div w:id="20471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kohlrusz@bktp.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61A0F-6305-4D93-9F6D-349B7267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2166</Characters>
  <Application>Microsoft Office Word</Application>
  <DocSecurity>0</DocSecurity>
  <Lines>18</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sipos</dc:creator>
  <cp:lastModifiedBy>Dr. Udovecz Ákos</cp:lastModifiedBy>
  <cp:revision>3</cp:revision>
  <dcterms:created xsi:type="dcterms:W3CDTF">2022-05-18T14:03:00Z</dcterms:created>
  <dcterms:modified xsi:type="dcterms:W3CDTF">2022-05-25T14:42:00Z</dcterms:modified>
</cp:coreProperties>
</file>