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9924" w:type="dxa"/>
        <w:tblInd w:w="-431" w:type="dxa"/>
        <w:tblLook w:val="04A0" w:firstRow="1" w:lastRow="0" w:firstColumn="1" w:lastColumn="0" w:noHBand="0" w:noVBand="1"/>
      </w:tblPr>
      <w:tblGrid>
        <w:gridCol w:w="2149"/>
        <w:gridCol w:w="7775"/>
      </w:tblGrid>
      <w:tr w:rsidR="0013685C" w:rsidRPr="004C29A2" w14:paraId="422D0F2D" w14:textId="4E9785B7" w:rsidTr="00622A32">
        <w:trPr>
          <w:trHeight w:val="680"/>
        </w:trPr>
        <w:tc>
          <w:tcPr>
            <w:tcW w:w="2137" w:type="dxa"/>
          </w:tcPr>
          <w:p w14:paraId="0B43C6C4" w14:textId="77777777" w:rsidR="0013685C" w:rsidRPr="00FB4D21" w:rsidRDefault="0013685C" w:rsidP="00B91483">
            <w:pPr>
              <w:autoSpaceDE w:val="0"/>
              <w:autoSpaceDN w:val="0"/>
              <w:adjustRightInd w:val="0"/>
              <w:rPr>
                <w:rFonts w:ascii="Garamond" w:hAnsi="Garamond" w:cs="Times New Roman"/>
                <w:b/>
                <w:bCs/>
                <w:sz w:val="24"/>
                <w:szCs w:val="24"/>
                <w:lang w:val="en-GB"/>
              </w:rPr>
            </w:pPr>
            <w:r w:rsidRPr="00FB4D21">
              <w:rPr>
                <w:rFonts w:ascii="Garamond" w:hAnsi="Garamond" w:cs="Times New Roman"/>
                <w:b/>
                <w:sz w:val="24"/>
                <w:szCs w:val="24"/>
                <w:lang w:val="en-GB"/>
              </w:rPr>
              <w:t>Title</w:t>
            </w:r>
          </w:p>
        </w:tc>
        <w:tc>
          <w:tcPr>
            <w:tcW w:w="7787" w:type="dxa"/>
          </w:tcPr>
          <w:p w14:paraId="25F1911A" w14:textId="5A7EA088" w:rsidR="0013685C" w:rsidRPr="004C29A2" w:rsidRDefault="0013685C" w:rsidP="004C29A2">
            <w:pPr>
              <w:jc w:val="both"/>
              <w:rPr>
                <w:rFonts w:ascii="Garamond" w:hAnsi="Garamond"/>
                <w:b/>
                <w:sz w:val="24"/>
                <w:szCs w:val="24"/>
                <w:lang w:val="en-GB"/>
              </w:rPr>
            </w:pPr>
            <w:r w:rsidRPr="004C29A2">
              <w:rPr>
                <w:rStyle w:val="Hiperhivatkozs"/>
                <w:rFonts w:ascii="Garamond" w:hAnsi="Garamond" w:cs="Times New Roman"/>
                <w:b/>
                <w:color w:val="auto"/>
                <w:sz w:val="24"/>
                <w:szCs w:val="24"/>
                <w:u w:val="none"/>
                <w:lang w:val="en-GB"/>
              </w:rPr>
              <w:t xml:space="preserve">Courts and Administration – </w:t>
            </w:r>
            <w:r w:rsidR="00707BB3">
              <w:rPr>
                <w:rStyle w:val="Hiperhivatkozs"/>
                <w:rFonts w:ascii="Garamond" w:hAnsi="Garamond" w:cs="Times New Roman"/>
                <w:b/>
                <w:color w:val="auto"/>
                <w:sz w:val="24"/>
                <w:szCs w:val="24"/>
                <w:u w:val="none"/>
                <w:lang w:val="en-GB"/>
              </w:rPr>
              <w:t>A</w:t>
            </w:r>
            <w:r w:rsidR="004C29A2" w:rsidRPr="004C29A2">
              <w:rPr>
                <w:rStyle w:val="Hiperhivatkozs"/>
                <w:rFonts w:ascii="Garamond" w:hAnsi="Garamond" w:cs="Times New Roman"/>
                <w:b/>
                <w:color w:val="auto"/>
                <w:sz w:val="24"/>
                <w:szCs w:val="24"/>
                <w:u w:val="none"/>
                <w:lang w:val="en-GB"/>
              </w:rPr>
              <w:t xml:space="preserve">dministrative </w:t>
            </w:r>
            <w:r w:rsidR="00707BB3">
              <w:rPr>
                <w:rStyle w:val="Hiperhivatkozs"/>
                <w:rFonts w:ascii="Garamond" w:hAnsi="Garamond" w:cs="Times New Roman"/>
                <w:b/>
                <w:color w:val="auto"/>
                <w:sz w:val="24"/>
                <w:szCs w:val="24"/>
                <w:u w:val="none"/>
                <w:lang w:val="en-GB"/>
              </w:rPr>
              <w:t>jurisdiction</w:t>
            </w:r>
            <w:r w:rsidR="004C29A2" w:rsidRPr="004C29A2">
              <w:rPr>
                <w:rStyle w:val="Hiperhivatkozs"/>
                <w:rFonts w:ascii="Garamond" w:hAnsi="Garamond" w:cs="Times New Roman"/>
                <w:b/>
                <w:color w:val="auto"/>
                <w:sz w:val="24"/>
                <w:szCs w:val="24"/>
                <w:u w:val="none"/>
                <w:lang w:val="en-GB"/>
              </w:rPr>
              <w:t xml:space="preserve"> </w:t>
            </w:r>
            <w:r w:rsidRPr="004C29A2">
              <w:rPr>
                <w:rStyle w:val="Hiperhivatkozs"/>
                <w:rFonts w:ascii="Garamond" w:hAnsi="Garamond" w:cs="Times New Roman"/>
                <w:b/>
                <w:color w:val="auto"/>
                <w:sz w:val="24"/>
                <w:szCs w:val="24"/>
                <w:u w:val="none"/>
                <w:lang w:val="en-GB"/>
              </w:rPr>
              <w:t xml:space="preserve">and </w:t>
            </w:r>
            <w:r w:rsidR="004C29A2" w:rsidRPr="004C29A2">
              <w:rPr>
                <w:rStyle w:val="Hiperhivatkozs"/>
                <w:rFonts w:ascii="Garamond" w:hAnsi="Garamond" w:cs="Times New Roman"/>
                <w:b/>
                <w:color w:val="auto"/>
                <w:sz w:val="24"/>
                <w:szCs w:val="24"/>
                <w:u w:val="none"/>
                <w:lang w:val="en-GB"/>
              </w:rPr>
              <w:t>judicial</w:t>
            </w:r>
            <w:r w:rsidRPr="004C29A2">
              <w:rPr>
                <w:rStyle w:val="Hiperhivatkozs"/>
                <w:rFonts w:ascii="Garamond" w:hAnsi="Garamond" w:cs="Times New Roman"/>
                <w:b/>
                <w:color w:val="auto"/>
                <w:sz w:val="24"/>
                <w:szCs w:val="24"/>
                <w:u w:val="none"/>
                <w:lang w:val="en-GB"/>
              </w:rPr>
              <w:t xml:space="preserve"> </w:t>
            </w:r>
            <w:r w:rsidR="004C29A2" w:rsidRPr="004C29A2">
              <w:rPr>
                <w:rStyle w:val="Hiperhivatkozs"/>
                <w:rFonts w:ascii="Garamond" w:hAnsi="Garamond" w:cs="Times New Roman"/>
                <w:b/>
                <w:color w:val="auto"/>
                <w:sz w:val="24"/>
                <w:szCs w:val="24"/>
                <w:u w:val="none"/>
                <w:lang w:val="en-GB"/>
              </w:rPr>
              <w:t>a</w:t>
            </w:r>
            <w:r w:rsidRPr="004C29A2">
              <w:rPr>
                <w:rStyle w:val="Hiperhivatkozs"/>
                <w:rFonts w:ascii="Garamond" w:hAnsi="Garamond" w:cs="Times New Roman"/>
                <w:b/>
                <w:color w:val="auto"/>
                <w:sz w:val="24"/>
                <w:szCs w:val="24"/>
                <w:u w:val="none"/>
                <w:lang w:val="en-GB"/>
              </w:rPr>
              <w:t>dministration</w:t>
            </w:r>
            <w:r w:rsidR="004C29A2" w:rsidRPr="004C29A2">
              <w:rPr>
                <w:rStyle w:val="Hiperhivatkozs"/>
                <w:rFonts w:ascii="Garamond" w:hAnsi="Garamond" w:cs="Times New Roman"/>
                <w:b/>
                <w:color w:val="auto"/>
                <w:sz w:val="24"/>
                <w:szCs w:val="24"/>
                <w:u w:val="none"/>
                <w:lang w:val="en-GB"/>
              </w:rPr>
              <w:t xml:space="preserve"> in a comparative perspective</w:t>
            </w:r>
          </w:p>
        </w:tc>
      </w:tr>
      <w:tr w:rsidR="0013685C" w:rsidRPr="004C29A2" w14:paraId="46B5954C" w14:textId="3F586132" w:rsidTr="00622A32">
        <w:trPr>
          <w:trHeight w:val="940"/>
        </w:trPr>
        <w:tc>
          <w:tcPr>
            <w:tcW w:w="2137" w:type="dxa"/>
          </w:tcPr>
          <w:p w14:paraId="55AC1BDB" w14:textId="77777777" w:rsidR="0013685C" w:rsidRPr="004C29A2" w:rsidRDefault="0013685C" w:rsidP="00B91483">
            <w:pPr>
              <w:autoSpaceDE w:val="0"/>
              <w:autoSpaceDN w:val="0"/>
              <w:adjustRightInd w:val="0"/>
              <w:jc w:val="both"/>
              <w:rPr>
                <w:rFonts w:ascii="Garamond" w:eastAsia="MS Mincho" w:hAnsi="Garamond" w:cs="Times New Roman"/>
                <w:bCs/>
                <w:sz w:val="24"/>
                <w:szCs w:val="24"/>
                <w:lang w:val="en-GB"/>
              </w:rPr>
            </w:pPr>
            <w:r w:rsidRPr="004C29A2">
              <w:rPr>
                <w:rFonts w:ascii="Garamond" w:eastAsia="MS Mincho" w:hAnsi="Garamond" w:cs="Times New Roman"/>
                <w:b/>
                <w:bCs/>
                <w:sz w:val="24"/>
                <w:szCs w:val="24"/>
                <w:lang w:val="en-GB"/>
              </w:rPr>
              <w:t>Lecturers:</w:t>
            </w:r>
            <w:r w:rsidRPr="004C29A2">
              <w:rPr>
                <w:rFonts w:ascii="Garamond" w:eastAsia="MS Mincho" w:hAnsi="Garamond" w:cs="Times New Roman"/>
                <w:bCs/>
                <w:sz w:val="24"/>
                <w:szCs w:val="24"/>
                <w:lang w:val="en-GB"/>
              </w:rPr>
              <w:t xml:space="preserve"> </w:t>
            </w:r>
          </w:p>
        </w:tc>
        <w:tc>
          <w:tcPr>
            <w:tcW w:w="7787" w:type="dxa"/>
          </w:tcPr>
          <w:p w14:paraId="06801A28" w14:textId="52825611" w:rsidR="0013685C" w:rsidRPr="004C29A2" w:rsidRDefault="006326C5" w:rsidP="004C29A2">
            <w:pPr>
              <w:jc w:val="both"/>
              <w:rPr>
                <w:rStyle w:val="Hiperhivatkozs"/>
                <w:rFonts w:ascii="Garamond" w:hAnsi="Garamond" w:cs="Times New Roman"/>
                <w:bCs/>
                <w:color w:val="auto"/>
                <w:sz w:val="24"/>
                <w:szCs w:val="24"/>
                <w:u w:val="none"/>
                <w:lang w:val="en-GB"/>
              </w:rPr>
            </w:pPr>
            <w:r>
              <w:rPr>
                <w:rStyle w:val="Hiperhivatkozs"/>
                <w:rFonts w:ascii="Garamond" w:hAnsi="Garamond" w:cs="Times New Roman"/>
                <w:bCs/>
                <w:color w:val="auto"/>
                <w:sz w:val="24"/>
                <w:szCs w:val="24"/>
                <w:u w:val="none"/>
                <w:lang w:val="en-GB"/>
              </w:rPr>
              <w:t xml:space="preserve">Prof. Dr. </w:t>
            </w:r>
            <w:r w:rsidR="004C29A2" w:rsidRPr="004C29A2">
              <w:rPr>
                <w:rStyle w:val="Hiperhivatkozs"/>
                <w:rFonts w:ascii="Garamond" w:hAnsi="Garamond" w:cs="Times New Roman"/>
                <w:bCs/>
                <w:color w:val="auto"/>
                <w:sz w:val="24"/>
                <w:szCs w:val="24"/>
                <w:u w:val="none"/>
                <w:lang w:val="en-GB"/>
              </w:rPr>
              <w:t>Krisztina Rozsnyai</w:t>
            </w:r>
          </w:p>
          <w:p w14:paraId="77B8DA61" w14:textId="1EAB88B7" w:rsidR="004C29A2" w:rsidRPr="004C29A2" w:rsidRDefault="004C29A2" w:rsidP="004C29A2">
            <w:pPr>
              <w:jc w:val="both"/>
              <w:rPr>
                <w:rStyle w:val="Hiperhivatkozs"/>
                <w:rFonts w:ascii="Garamond" w:hAnsi="Garamond" w:cs="Times New Roman"/>
                <w:bCs/>
                <w:color w:val="auto"/>
                <w:sz w:val="24"/>
                <w:szCs w:val="24"/>
                <w:u w:val="none"/>
                <w:lang w:val="en-GB"/>
              </w:rPr>
            </w:pPr>
            <w:r w:rsidRPr="004C29A2">
              <w:rPr>
                <w:rStyle w:val="Hiperhivatkozs"/>
                <w:rFonts w:ascii="Garamond" w:hAnsi="Garamond" w:cs="Times New Roman"/>
                <w:bCs/>
                <w:color w:val="auto"/>
                <w:sz w:val="24"/>
                <w:szCs w:val="24"/>
                <w:u w:val="none"/>
                <w:lang w:val="en-GB"/>
              </w:rPr>
              <w:t>D</w:t>
            </w:r>
            <w:r w:rsidR="001E28A9">
              <w:rPr>
                <w:rStyle w:val="Hiperhivatkozs"/>
                <w:rFonts w:ascii="Garamond" w:hAnsi="Garamond" w:cs="Times New Roman"/>
                <w:bCs/>
                <w:color w:val="auto"/>
                <w:sz w:val="24"/>
                <w:szCs w:val="24"/>
                <w:u w:val="none"/>
                <w:lang w:val="en-GB"/>
              </w:rPr>
              <w:t>e</w:t>
            </w:r>
            <w:r w:rsidRPr="004C29A2">
              <w:rPr>
                <w:rStyle w:val="Hiperhivatkozs"/>
                <w:rFonts w:ascii="Garamond" w:hAnsi="Garamond" w:cs="Times New Roman"/>
                <w:bCs/>
                <w:color w:val="auto"/>
                <w:sz w:val="24"/>
                <w:szCs w:val="24"/>
                <w:u w:val="none"/>
                <w:lang w:val="en-GB"/>
              </w:rPr>
              <w:t>p</w:t>
            </w:r>
            <w:r w:rsidR="001E28A9">
              <w:rPr>
                <w:rStyle w:val="Hiperhivatkozs"/>
                <w:rFonts w:ascii="Garamond" w:hAnsi="Garamond" w:cs="Times New Roman"/>
                <w:bCs/>
                <w:color w:val="auto"/>
                <w:sz w:val="24"/>
                <w:szCs w:val="24"/>
                <w:u w:val="none"/>
                <w:lang w:val="en-GB"/>
              </w:rPr>
              <w:t>artmen</w:t>
            </w:r>
            <w:r w:rsidRPr="004C29A2">
              <w:rPr>
                <w:rStyle w:val="Hiperhivatkozs"/>
                <w:rFonts w:ascii="Garamond" w:hAnsi="Garamond" w:cs="Times New Roman"/>
                <w:bCs/>
                <w:color w:val="auto"/>
                <w:sz w:val="24"/>
                <w:szCs w:val="24"/>
                <w:u w:val="none"/>
                <w:lang w:val="en-GB"/>
              </w:rPr>
              <w:t>t of Administrative Law</w:t>
            </w:r>
          </w:p>
          <w:p w14:paraId="3C959155" w14:textId="0206C2AB" w:rsidR="004C29A2" w:rsidRPr="004C29A2" w:rsidRDefault="004C29A2" w:rsidP="004C29A2">
            <w:pPr>
              <w:jc w:val="both"/>
              <w:rPr>
                <w:rStyle w:val="Hiperhivatkozs"/>
                <w:rFonts w:ascii="Garamond" w:hAnsi="Garamond" w:cs="Times New Roman"/>
                <w:bCs/>
                <w:color w:val="auto"/>
                <w:sz w:val="24"/>
                <w:szCs w:val="24"/>
                <w:u w:val="none"/>
                <w:lang w:val="en-GB"/>
              </w:rPr>
            </w:pPr>
            <w:r w:rsidRPr="004C29A2">
              <w:rPr>
                <w:rStyle w:val="Hiperhivatkozs"/>
                <w:rFonts w:ascii="Garamond" w:hAnsi="Garamond" w:cs="Times New Roman"/>
                <w:bCs/>
                <w:color w:val="auto"/>
                <w:sz w:val="24"/>
                <w:szCs w:val="24"/>
                <w:u w:val="none"/>
                <w:lang w:val="en-GB"/>
              </w:rPr>
              <w:t>rozsnyaik@ajk.elte.hu</w:t>
            </w:r>
          </w:p>
        </w:tc>
      </w:tr>
      <w:tr w:rsidR="0013685C" w:rsidRPr="004C29A2" w14:paraId="4A8773B5" w14:textId="50F53F5F" w:rsidTr="00622A32">
        <w:trPr>
          <w:trHeight w:val="2211"/>
        </w:trPr>
        <w:tc>
          <w:tcPr>
            <w:tcW w:w="2137" w:type="dxa"/>
          </w:tcPr>
          <w:p w14:paraId="3F2D5E4D" w14:textId="77777777" w:rsidR="0013685C" w:rsidRPr="004C29A2" w:rsidRDefault="0013685C" w:rsidP="00B91483">
            <w:pPr>
              <w:autoSpaceDE w:val="0"/>
              <w:autoSpaceDN w:val="0"/>
              <w:adjustRightInd w:val="0"/>
              <w:jc w:val="both"/>
              <w:rPr>
                <w:rFonts w:ascii="Garamond" w:eastAsia="MS Mincho" w:hAnsi="Garamond" w:cs="Times New Roman"/>
                <w:b/>
                <w:bCs/>
                <w:sz w:val="24"/>
                <w:szCs w:val="24"/>
                <w:lang w:val="en-GB"/>
              </w:rPr>
            </w:pPr>
            <w:r w:rsidRPr="004C29A2">
              <w:rPr>
                <w:rStyle w:val="Hiperhivatkozs"/>
                <w:rFonts w:ascii="Garamond" w:eastAsia="MS Mincho" w:hAnsi="Garamond" w:cs="Times New Roman"/>
                <w:b/>
                <w:bCs/>
                <w:color w:val="auto"/>
                <w:sz w:val="24"/>
                <w:szCs w:val="24"/>
                <w:u w:val="none"/>
                <w:lang w:val="en-GB"/>
              </w:rPr>
              <w:t>Brief description</w:t>
            </w:r>
          </w:p>
        </w:tc>
        <w:tc>
          <w:tcPr>
            <w:tcW w:w="7787" w:type="dxa"/>
          </w:tcPr>
          <w:p w14:paraId="6B8D0304" w14:textId="39FA6049" w:rsidR="0013685C" w:rsidRPr="004C29A2" w:rsidRDefault="004C29A2" w:rsidP="004C29A2">
            <w:pPr>
              <w:jc w:val="both"/>
              <w:rPr>
                <w:rStyle w:val="Hiperhivatkozs"/>
                <w:rFonts w:ascii="Garamond" w:eastAsia="MS Mincho" w:hAnsi="Garamond" w:cs="Times New Roman"/>
                <w:bCs/>
                <w:color w:val="auto"/>
                <w:sz w:val="24"/>
                <w:szCs w:val="24"/>
                <w:u w:val="none"/>
                <w:lang w:val="en-GB"/>
              </w:rPr>
            </w:pPr>
            <w:r w:rsidRPr="004C29A2">
              <w:rPr>
                <w:rStyle w:val="Hiperhivatkozs"/>
                <w:rFonts w:ascii="Garamond" w:eastAsia="MS Mincho" w:hAnsi="Garamond" w:cs="Times New Roman"/>
                <w:bCs/>
                <w:color w:val="auto"/>
                <w:sz w:val="24"/>
                <w:szCs w:val="24"/>
                <w:u w:val="none"/>
                <w:lang w:val="en-GB"/>
              </w:rPr>
              <w:t>T</w:t>
            </w:r>
            <w:r w:rsidRPr="004C29A2">
              <w:rPr>
                <w:rStyle w:val="Hiperhivatkozs"/>
                <w:rFonts w:ascii="Garamond" w:hAnsi="Garamond"/>
                <w:bCs/>
                <w:color w:val="auto"/>
                <w:sz w:val="24"/>
                <w:szCs w:val="24"/>
                <w:u w:val="none"/>
                <w:lang w:val="en-GB"/>
              </w:rPr>
              <w:t xml:space="preserve">he course aims at exploring the system of checks and balances between courts and administration. On the one hand, main aspects of judicial review will be treated in the matrix of access to court and effective judicial protection against administrative actions. On the other hand, the aspects of court administration will also be analysed, mainly focusing on the fair trial aspects, like independence and impartiality, </w:t>
            </w:r>
            <w:r>
              <w:rPr>
                <w:rStyle w:val="Hiperhivatkozs"/>
                <w:rFonts w:ascii="Garamond" w:hAnsi="Garamond"/>
                <w:bCs/>
                <w:color w:val="auto"/>
                <w:sz w:val="24"/>
                <w:szCs w:val="24"/>
                <w:u w:val="none"/>
                <w:lang w:val="en-GB"/>
              </w:rPr>
              <w:t>as well as the questions of timeliness</w:t>
            </w:r>
            <w:r w:rsidR="00FC377D">
              <w:rPr>
                <w:rStyle w:val="Hiperhivatkozs"/>
                <w:rFonts w:ascii="Garamond" w:hAnsi="Garamond"/>
                <w:bCs/>
                <w:color w:val="auto"/>
                <w:sz w:val="24"/>
                <w:szCs w:val="24"/>
                <w:u w:val="none"/>
                <w:lang w:val="en-GB"/>
              </w:rPr>
              <w:t>,</w:t>
            </w:r>
            <w:r>
              <w:rPr>
                <w:rStyle w:val="Hiperhivatkozs"/>
                <w:rFonts w:ascii="Garamond" w:hAnsi="Garamond"/>
                <w:bCs/>
                <w:color w:val="auto"/>
                <w:sz w:val="24"/>
                <w:szCs w:val="24"/>
                <w:u w:val="none"/>
                <w:lang w:val="en-GB"/>
              </w:rPr>
              <w:t xml:space="preserve"> case distribution</w:t>
            </w:r>
            <w:r w:rsidR="00FC377D">
              <w:rPr>
                <w:rStyle w:val="Hiperhivatkozs"/>
                <w:rFonts w:ascii="Garamond" w:hAnsi="Garamond"/>
                <w:bCs/>
                <w:color w:val="auto"/>
                <w:sz w:val="24"/>
                <w:szCs w:val="24"/>
                <w:u w:val="none"/>
                <w:lang w:val="en-GB"/>
              </w:rPr>
              <w:t xml:space="preserve"> and </w:t>
            </w:r>
            <w:r w:rsidR="00E10AFD">
              <w:rPr>
                <w:rStyle w:val="Hiperhivatkozs"/>
                <w:rFonts w:ascii="Garamond" w:hAnsi="Garamond"/>
                <w:bCs/>
                <w:color w:val="auto"/>
                <w:sz w:val="24"/>
                <w:szCs w:val="24"/>
                <w:u w:val="none"/>
                <w:lang w:val="en-GB"/>
              </w:rPr>
              <w:t xml:space="preserve">composition of panels. </w:t>
            </w:r>
            <w:r w:rsidR="0082520E">
              <w:rPr>
                <w:rStyle w:val="Hiperhivatkozs"/>
                <w:rFonts w:ascii="Garamond" w:hAnsi="Garamond"/>
                <w:bCs/>
                <w:color w:val="auto"/>
                <w:sz w:val="24"/>
                <w:szCs w:val="24"/>
                <w:u w:val="none"/>
                <w:lang w:val="en-GB"/>
              </w:rPr>
              <w:t>T</w:t>
            </w:r>
            <w:r w:rsidR="002E42AF">
              <w:rPr>
                <w:rStyle w:val="Hiperhivatkozs"/>
                <w:rFonts w:ascii="Garamond" w:hAnsi="Garamond"/>
                <w:bCs/>
                <w:color w:val="auto"/>
                <w:sz w:val="24"/>
                <w:szCs w:val="24"/>
                <w:u w:val="none"/>
                <w:lang w:val="en-GB"/>
              </w:rPr>
              <w:t xml:space="preserve">he case law of the ECtHR and ECJ </w:t>
            </w:r>
            <w:r w:rsidR="0082520E" w:rsidRPr="0082520E">
              <w:rPr>
                <w:rStyle w:val="Hiperhivatkozs"/>
                <w:rFonts w:ascii="Garamond" w:hAnsi="Garamond"/>
                <w:bCs/>
                <w:color w:val="auto"/>
                <w:sz w:val="24"/>
                <w:szCs w:val="24"/>
                <w:u w:val="none"/>
                <w:lang w:val="en-GB"/>
              </w:rPr>
              <w:t>a</w:t>
            </w:r>
            <w:r w:rsidR="0082520E">
              <w:rPr>
                <w:rStyle w:val="Hiperhivatkozs"/>
                <w:rFonts w:ascii="Garamond" w:hAnsi="Garamond"/>
                <w:bCs/>
                <w:color w:val="auto"/>
                <w:sz w:val="24"/>
                <w:szCs w:val="24"/>
                <w:u w:val="none"/>
                <w:lang w:val="en-GB"/>
              </w:rPr>
              <w:t>s well a</w:t>
            </w:r>
            <w:r w:rsidR="0082520E" w:rsidRPr="0082520E">
              <w:rPr>
                <w:rStyle w:val="Hiperhivatkozs"/>
                <w:rFonts w:ascii="Garamond" w:hAnsi="Garamond"/>
                <w:bCs/>
                <w:color w:val="auto"/>
                <w:sz w:val="24"/>
                <w:szCs w:val="24"/>
                <w:u w:val="none"/>
                <w:lang w:val="en-GB"/>
              </w:rPr>
              <w:t xml:space="preserve">s single </w:t>
            </w:r>
            <w:r w:rsidR="002E42AF" w:rsidRPr="0082520E">
              <w:rPr>
                <w:rStyle w:val="Hiperhivatkozs"/>
                <w:rFonts w:ascii="Garamond" w:hAnsi="Garamond"/>
                <w:bCs/>
                <w:color w:val="auto"/>
                <w:sz w:val="24"/>
                <w:szCs w:val="24"/>
                <w:u w:val="none"/>
                <w:lang w:val="en-GB"/>
              </w:rPr>
              <w:t xml:space="preserve">member states’ </w:t>
            </w:r>
            <w:r w:rsidR="0082520E" w:rsidRPr="0082520E">
              <w:rPr>
                <w:rStyle w:val="Hiperhivatkozs"/>
                <w:rFonts w:ascii="Garamond" w:hAnsi="Garamond"/>
                <w:bCs/>
                <w:color w:val="auto"/>
                <w:sz w:val="24"/>
                <w:szCs w:val="24"/>
                <w:u w:val="none"/>
                <w:lang w:val="en-GB"/>
              </w:rPr>
              <w:t xml:space="preserve">solutions </w:t>
            </w:r>
            <w:r w:rsidR="0082520E">
              <w:rPr>
                <w:rStyle w:val="Hiperhivatkozs"/>
                <w:rFonts w:ascii="Garamond" w:hAnsi="Garamond"/>
                <w:bCs/>
                <w:color w:val="auto"/>
                <w:sz w:val="24"/>
                <w:szCs w:val="24"/>
                <w:u w:val="none"/>
                <w:lang w:val="en-GB"/>
              </w:rPr>
              <w:t>are to be explored</w:t>
            </w:r>
            <w:r w:rsidR="0082520E" w:rsidRPr="0082520E">
              <w:rPr>
                <w:rStyle w:val="Hiperhivatkozs"/>
                <w:rFonts w:ascii="Garamond" w:hAnsi="Garamond"/>
                <w:bCs/>
                <w:color w:val="auto"/>
                <w:sz w:val="24"/>
                <w:szCs w:val="24"/>
                <w:u w:val="none"/>
                <w:lang w:val="en-GB"/>
              </w:rPr>
              <w:t>.</w:t>
            </w:r>
          </w:p>
        </w:tc>
      </w:tr>
      <w:tr w:rsidR="0013685C" w:rsidRPr="004C29A2" w14:paraId="3A0A4B71" w14:textId="1BB992B0" w:rsidTr="00622A32">
        <w:trPr>
          <w:trHeight w:val="2211"/>
        </w:trPr>
        <w:tc>
          <w:tcPr>
            <w:tcW w:w="2137" w:type="dxa"/>
          </w:tcPr>
          <w:p w14:paraId="496EC863" w14:textId="77777777" w:rsidR="0013685C" w:rsidRPr="004C29A2" w:rsidRDefault="0013685C" w:rsidP="00B91483">
            <w:pPr>
              <w:autoSpaceDE w:val="0"/>
              <w:autoSpaceDN w:val="0"/>
              <w:adjustRightInd w:val="0"/>
              <w:jc w:val="both"/>
              <w:rPr>
                <w:rFonts w:ascii="Garamond" w:eastAsia="MS Mincho" w:hAnsi="Garamond" w:cs="Times New Roman"/>
                <w:b/>
                <w:bCs/>
                <w:sz w:val="24"/>
                <w:szCs w:val="24"/>
                <w:lang w:val="en-GB"/>
              </w:rPr>
            </w:pPr>
            <w:r w:rsidRPr="004C29A2">
              <w:rPr>
                <w:rFonts w:ascii="Garamond" w:eastAsia="MS Mincho" w:hAnsi="Garamond" w:cs="Times New Roman"/>
                <w:b/>
                <w:bCs/>
                <w:sz w:val="24"/>
                <w:szCs w:val="24"/>
                <w:lang w:val="en-GB"/>
              </w:rPr>
              <w:t>Schedule</w:t>
            </w:r>
          </w:p>
        </w:tc>
        <w:tc>
          <w:tcPr>
            <w:tcW w:w="7787" w:type="dxa"/>
          </w:tcPr>
          <w:p w14:paraId="6C4442CB" w14:textId="1580490B" w:rsidR="0013685C" w:rsidRPr="00622A32" w:rsidRDefault="00B45AFA" w:rsidP="00FC377D">
            <w:pPr>
              <w:pStyle w:val="Listaszerbekezds"/>
              <w:numPr>
                <w:ilvl w:val="0"/>
                <w:numId w:val="10"/>
              </w:numPr>
              <w:autoSpaceDE w:val="0"/>
              <w:autoSpaceDN w:val="0"/>
              <w:adjustRightInd w:val="0"/>
              <w:jc w:val="both"/>
              <w:rPr>
                <w:rStyle w:val="Hiperhivatkozs"/>
                <w:rFonts w:ascii="Garamond" w:eastAsia="MS Mincho" w:hAnsi="Garamond" w:cs="Times New Roman"/>
                <w:color w:val="auto"/>
                <w:sz w:val="24"/>
                <w:szCs w:val="24"/>
                <w:u w:val="none"/>
                <w:lang w:val="en-GB"/>
              </w:rPr>
            </w:pPr>
            <w:r>
              <w:rPr>
                <w:rStyle w:val="Hiperhivatkozs"/>
                <w:rFonts w:ascii="Garamond" w:hAnsi="Garamond"/>
                <w:color w:val="auto"/>
                <w:sz w:val="24"/>
                <w:szCs w:val="24"/>
                <w:u w:val="none"/>
              </w:rPr>
              <w:t>(</w:t>
            </w:r>
            <w:r w:rsidR="006779DF">
              <w:rPr>
                <w:rStyle w:val="Hiperhivatkozs"/>
                <w:rFonts w:ascii="Garamond" w:hAnsi="Garamond"/>
                <w:color w:val="auto"/>
                <w:sz w:val="24"/>
                <w:szCs w:val="24"/>
                <w:u w:val="none"/>
              </w:rPr>
              <w:t>22</w:t>
            </w:r>
            <w:r>
              <w:rPr>
                <w:rStyle w:val="Hiperhivatkozs"/>
                <w:rFonts w:ascii="Garamond" w:hAnsi="Garamond"/>
                <w:color w:val="auto"/>
                <w:sz w:val="24"/>
                <w:szCs w:val="24"/>
                <w:u w:val="none"/>
              </w:rPr>
              <w:t xml:space="preserve">/9) </w:t>
            </w:r>
            <w:r w:rsidR="00FC377D" w:rsidRPr="00622A32">
              <w:rPr>
                <w:rStyle w:val="Hiperhivatkozs"/>
                <w:rFonts w:ascii="Garamond" w:hAnsi="Garamond"/>
                <w:color w:val="auto"/>
                <w:sz w:val="24"/>
                <w:szCs w:val="24"/>
                <w:u w:val="none"/>
              </w:rPr>
              <w:t>I</w:t>
            </w:r>
            <w:proofErr w:type="spellStart"/>
            <w:r w:rsidR="00FC377D" w:rsidRPr="00622A32">
              <w:rPr>
                <w:rStyle w:val="Hiperhivatkozs"/>
                <w:rFonts w:ascii="Garamond" w:hAnsi="Garamond"/>
                <w:color w:val="auto"/>
                <w:sz w:val="24"/>
                <w:szCs w:val="24"/>
                <w:u w:val="none"/>
                <w:lang w:val="en-GB"/>
              </w:rPr>
              <w:t>ntroduction</w:t>
            </w:r>
            <w:proofErr w:type="spellEnd"/>
            <w:r w:rsidR="00707BB3" w:rsidRPr="00622A32">
              <w:rPr>
                <w:rStyle w:val="Hiperhivatkozs"/>
                <w:rFonts w:ascii="Garamond" w:hAnsi="Garamond"/>
                <w:color w:val="auto"/>
                <w:sz w:val="24"/>
                <w:szCs w:val="24"/>
                <w:u w:val="none"/>
                <w:lang w:val="en-GB"/>
              </w:rPr>
              <w:t xml:space="preserve"> to the course. Administration, administrative jurisdiction and the separation of powers</w:t>
            </w:r>
          </w:p>
          <w:p w14:paraId="3B0DB5F5" w14:textId="206E6B04" w:rsidR="00622A32" w:rsidRPr="00622A32" w:rsidRDefault="00B45AFA" w:rsidP="00622A32">
            <w:pPr>
              <w:pStyle w:val="Listaszerbekezds"/>
              <w:numPr>
                <w:ilvl w:val="0"/>
                <w:numId w:val="10"/>
              </w:numPr>
              <w:autoSpaceDE w:val="0"/>
              <w:autoSpaceDN w:val="0"/>
              <w:adjustRightInd w:val="0"/>
              <w:jc w:val="both"/>
              <w:rPr>
                <w:rStyle w:val="Hiperhivatkozs"/>
                <w:rFonts w:ascii="Garamond" w:eastAsia="MS Mincho" w:hAnsi="Garamond" w:cs="Times New Roman"/>
                <w:color w:val="auto"/>
                <w:sz w:val="24"/>
                <w:szCs w:val="24"/>
                <w:u w:val="none"/>
                <w:lang w:val="en-GB"/>
              </w:rPr>
            </w:pPr>
            <w:r>
              <w:rPr>
                <w:rStyle w:val="Hiperhivatkozs"/>
                <w:rFonts w:ascii="Garamond" w:hAnsi="Garamond"/>
                <w:color w:val="auto"/>
                <w:sz w:val="24"/>
                <w:szCs w:val="24"/>
                <w:u w:val="none"/>
                <w:lang w:val="en-GB"/>
              </w:rPr>
              <w:t>(2</w:t>
            </w:r>
            <w:r w:rsidR="006779DF">
              <w:rPr>
                <w:rStyle w:val="Hiperhivatkozs"/>
                <w:rFonts w:ascii="Garamond" w:hAnsi="Garamond"/>
                <w:color w:val="auto"/>
                <w:sz w:val="24"/>
                <w:szCs w:val="24"/>
                <w:u w:val="none"/>
                <w:lang w:val="en-GB"/>
              </w:rPr>
              <w:t>9</w:t>
            </w:r>
            <w:r>
              <w:rPr>
                <w:rStyle w:val="Hiperhivatkozs"/>
                <w:rFonts w:ascii="Garamond" w:hAnsi="Garamond"/>
                <w:color w:val="auto"/>
                <w:sz w:val="24"/>
                <w:szCs w:val="24"/>
                <w:u w:val="none"/>
                <w:lang w:val="en-GB"/>
              </w:rPr>
              <w:t xml:space="preserve">/9) </w:t>
            </w:r>
            <w:r w:rsidR="00622A32" w:rsidRPr="00622A32">
              <w:rPr>
                <w:rStyle w:val="Hiperhivatkozs"/>
                <w:rFonts w:ascii="Garamond" w:hAnsi="Garamond"/>
                <w:color w:val="auto"/>
                <w:sz w:val="24"/>
                <w:szCs w:val="24"/>
                <w:u w:val="none"/>
                <w:lang w:val="en-GB"/>
              </w:rPr>
              <w:t>The right to effective judicial protection and its components in European Law</w:t>
            </w:r>
          </w:p>
          <w:p w14:paraId="46416D43" w14:textId="70434D0C" w:rsidR="00FC377D" w:rsidRPr="00622A32" w:rsidRDefault="00B45AFA" w:rsidP="00FC377D">
            <w:pPr>
              <w:pStyle w:val="Listaszerbekezds"/>
              <w:numPr>
                <w:ilvl w:val="0"/>
                <w:numId w:val="10"/>
              </w:numPr>
              <w:autoSpaceDE w:val="0"/>
              <w:autoSpaceDN w:val="0"/>
              <w:adjustRightInd w:val="0"/>
              <w:jc w:val="both"/>
              <w:rPr>
                <w:rStyle w:val="Hiperhivatkozs"/>
                <w:rFonts w:ascii="Garamond" w:eastAsia="MS Mincho" w:hAnsi="Garamond" w:cs="Times New Roman"/>
                <w:color w:val="auto"/>
                <w:sz w:val="24"/>
                <w:szCs w:val="24"/>
                <w:u w:val="none"/>
                <w:lang w:val="en-GB"/>
              </w:rPr>
            </w:pPr>
            <w:r>
              <w:rPr>
                <w:rStyle w:val="Hiperhivatkozs"/>
                <w:rFonts w:ascii="Garamond" w:eastAsia="MS Mincho" w:hAnsi="Garamond" w:cs="Times New Roman"/>
                <w:color w:val="auto"/>
                <w:sz w:val="24"/>
                <w:szCs w:val="24"/>
                <w:u w:val="none"/>
                <w:lang w:val="en-GB"/>
              </w:rPr>
              <w:t>(</w:t>
            </w:r>
            <w:r w:rsidR="006779DF">
              <w:rPr>
                <w:rStyle w:val="Hiperhivatkozs"/>
                <w:rFonts w:ascii="Garamond" w:eastAsia="MS Mincho" w:hAnsi="Garamond" w:cs="Times New Roman"/>
                <w:color w:val="auto"/>
                <w:sz w:val="24"/>
                <w:szCs w:val="24"/>
                <w:u w:val="none"/>
                <w:lang w:val="en-GB"/>
              </w:rPr>
              <w:t>6/10</w:t>
            </w:r>
            <w:r>
              <w:rPr>
                <w:rStyle w:val="Hiperhivatkozs"/>
                <w:rFonts w:ascii="Garamond" w:eastAsia="MS Mincho" w:hAnsi="Garamond" w:cs="Times New Roman"/>
                <w:color w:val="auto"/>
                <w:sz w:val="24"/>
                <w:szCs w:val="24"/>
                <w:u w:val="none"/>
                <w:lang w:val="en-GB"/>
              </w:rPr>
              <w:t xml:space="preserve">) </w:t>
            </w:r>
            <w:r w:rsidR="00FC377D" w:rsidRPr="00622A32">
              <w:rPr>
                <w:rStyle w:val="Hiperhivatkozs"/>
                <w:rFonts w:ascii="Garamond" w:eastAsia="MS Mincho" w:hAnsi="Garamond" w:cs="Times New Roman"/>
                <w:color w:val="auto"/>
                <w:sz w:val="24"/>
                <w:szCs w:val="24"/>
                <w:u w:val="none"/>
                <w:lang w:val="en-GB"/>
              </w:rPr>
              <w:t>The right to access to court</w:t>
            </w:r>
            <w:r w:rsidR="00FC377D" w:rsidRPr="00622A32">
              <w:rPr>
                <w:rStyle w:val="Hiperhivatkozs"/>
                <w:rFonts w:ascii="Garamond" w:hAnsi="Garamond"/>
                <w:color w:val="auto"/>
                <w:sz w:val="24"/>
                <w:szCs w:val="24"/>
                <w:u w:val="none"/>
              </w:rPr>
              <w:t xml:space="preserve"> – </w:t>
            </w:r>
            <w:proofErr w:type="spellStart"/>
            <w:r w:rsidR="00FC377D" w:rsidRPr="00622A32">
              <w:rPr>
                <w:rStyle w:val="Hiperhivatkozs"/>
                <w:rFonts w:ascii="Garamond" w:hAnsi="Garamond"/>
                <w:color w:val="auto"/>
                <w:sz w:val="24"/>
                <w:szCs w:val="24"/>
                <w:u w:val="none"/>
              </w:rPr>
              <w:t>administrative</w:t>
            </w:r>
            <w:proofErr w:type="spellEnd"/>
            <w:r w:rsidR="00FC377D" w:rsidRPr="00622A32">
              <w:rPr>
                <w:rStyle w:val="Hiperhivatkozs"/>
                <w:rFonts w:ascii="Garamond" w:hAnsi="Garamond"/>
                <w:color w:val="auto"/>
                <w:sz w:val="24"/>
                <w:szCs w:val="24"/>
                <w:u w:val="none"/>
              </w:rPr>
              <w:t xml:space="preserve"> </w:t>
            </w:r>
            <w:proofErr w:type="spellStart"/>
            <w:r w:rsidR="00FC377D" w:rsidRPr="00622A32">
              <w:rPr>
                <w:rStyle w:val="Hiperhivatkozs"/>
                <w:rFonts w:ascii="Garamond" w:hAnsi="Garamond"/>
                <w:color w:val="auto"/>
                <w:sz w:val="24"/>
                <w:szCs w:val="24"/>
                <w:u w:val="none"/>
              </w:rPr>
              <w:t>cases</w:t>
            </w:r>
            <w:proofErr w:type="spellEnd"/>
            <w:r w:rsidR="00FC377D" w:rsidRPr="00622A32">
              <w:rPr>
                <w:rStyle w:val="Hiperhivatkozs"/>
                <w:rFonts w:ascii="Garamond" w:hAnsi="Garamond"/>
                <w:color w:val="auto"/>
                <w:sz w:val="24"/>
                <w:szCs w:val="24"/>
                <w:u w:val="none"/>
              </w:rPr>
              <w:t xml:space="preserve"> </w:t>
            </w:r>
            <w:proofErr w:type="spellStart"/>
            <w:r w:rsidR="00FC377D" w:rsidRPr="00622A32">
              <w:rPr>
                <w:rStyle w:val="Hiperhivatkozs"/>
                <w:rFonts w:ascii="Garamond" w:hAnsi="Garamond"/>
                <w:color w:val="auto"/>
                <w:sz w:val="24"/>
                <w:szCs w:val="24"/>
                <w:u w:val="none"/>
              </w:rPr>
              <w:t>between</w:t>
            </w:r>
            <w:proofErr w:type="spellEnd"/>
            <w:r w:rsidR="00FC377D" w:rsidRPr="00622A32">
              <w:rPr>
                <w:rStyle w:val="Hiperhivatkozs"/>
                <w:rFonts w:ascii="Garamond" w:hAnsi="Garamond"/>
                <w:color w:val="auto"/>
                <w:sz w:val="24"/>
                <w:szCs w:val="24"/>
                <w:u w:val="none"/>
              </w:rPr>
              <w:t xml:space="preserve"> </w:t>
            </w:r>
            <w:proofErr w:type="spellStart"/>
            <w:r w:rsidR="00FC377D" w:rsidRPr="00622A32">
              <w:rPr>
                <w:rStyle w:val="Hiperhivatkozs"/>
                <w:rFonts w:ascii="Garamond" w:hAnsi="Garamond"/>
                <w:color w:val="auto"/>
                <w:sz w:val="24"/>
                <w:szCs w:val="24"/>
                <w:u w:val="none"/>
              </w:rPr>
              <w:t>the</w:t>
            </w:r>
            <w:proofErr w:type="spellEnd"/>
            <w:r w:rsidR="00FC377D" w:rsidRPr="00622A32">
              <w:rPr>
                <w:rStyle w:val="Hiperhivatkozs"/>
                <w:rFonts w:ascii="Garamond" w:hAnsi="Garamond"/>
                <w:color w:val="auto"/>
                <w:sz w:val="24"/>
                <w:szCs w:val="24"/>
                <w:u w:val="none"/>
              </w:rPr>
              <w:t xml:space="preserve"> „</w:t>
            </w:r>
            <w:proofErr w:type="spellStart"/>
            <w:r w:rsidR="00FC377D" w:rsidRPr="00622A32">
              <w:rPr>
                <w:rStyle w:val="Hiperhivatkozs"/>
                <w:rFonts w:ascii="Garamond" w:hAnsi="Garamond"/>
                <w:color w:val="auto"/>
                <w:sz w:val="24"/>
                <w:szCs w:val="24"/>
                <w:u w:val="none"/>
              </w:rPr>
              <w:t>criminal</w:t>
            </w:r>
            <w:proofErr w:type="spellEnd"/>
            <w:r w:rsidR="00FC377D" w:rsidRPr="00622A32">
              <w:rPr>
                <w:rStyle w:val="Hiperhivatkozs"/>
                <w:rFonts w:ascii="Garamond" w:hAnsi="Garamond"/>
                <w:color w:val="auto"/>
                <w:sz w:val="24"/>
                <w:szCs w:val="24"/>
                <w:u w:val="none"/>
              </w:rPr>
              <w:t xml:space="preserve">” and </w:t>
            </w:r>
            <w:proofErr w:type="spellStart"/>
            <w:r w:rsidR="00FC377D" w:rsidRPr="00622A32">
              <w:rPr>
                <w:rStyle w:val="Hiperhivatkozs"/>
                <w:rFonts w:ascii="Garamond" w:hAnsi="Garamond"/>
                <w:color w:val="auto"/>
                <w:sz w:val="24"/>
                <w:szCs w:val="24"/>
                <w:u w:val="none"/>
              </w:rPr>
              <w:t>the</w:t>
            </w:r>
            <w:proofErr w:type="spellEnd"/>
            <w:r w:rsidR="00FC377D" w:rsidRPr="00622A32">
              <w:rPr>
                <w:rStyle w:val="Hiperhivatkozs"/>
                <w:rFonts w:ascii="Garamond" w:hAnsi="Garamond"/>
                <w:color w:val="auto"/>
                <w:sz w:val="24"/>
                <w:szCs w:val="24"/>
                <w:u w:val="none"/>
              </w:rPr>
              <w:t xml:space="preserve"> „civil” </w:t>
            </w:r>
            <w:proofErr w:type="spellStart"/>
            <w:r w:rsidR="00FC377D" w:rsidRPr="00622A32">
              <w:rPr>
                <w:rStyle w:val="Hiperhivatkozs"/>
                <w:rFonts w:ascii="Garamond" w:hAnsi="Garamond"/>
                <w:color w:val="auto"/>
                <w:sz w:val="24"/>
                <w:szCs w:val="24"/>
                <w:u w:val="none"/>
              </w:rPr>
              <w:t>limb</w:t>
            </w:r>
            <w:proofErr w:type="spellEnd"/>
            <w:r w:rsidR="002E42AF" w:rsidRPr="00622A32">
              <w:rPr>
                <w:rStyle w:val="Hiperhivatkozs"/>
                <w:rFonts w:ascii="Garamond" w:hAnsi="Garamond"/>
                <w:color w:val="auto"/>
                <w:sz w:val="24"/>
                <w:szCs w:val="24"/>
                <w:u w:val="none"/>
              </w:rPr>
              <w:t xml:space="preserve"> </w:t>
            </w:r>
            <w:proofErr w:type="spellStart"/>
            <w:r w:rsidR="002E42AF" w:rsidRPr="00622A32">
              <w:rPr>
                <w:rStyle w:val="Hiperhivatkozs"/>
                <w:rFonts w:ascii="Garamond" w:hAnsi="Garamond"/>
                <w:color w:val="auto"/>
                <w:sz w:val="24"/>
                <w:szCs w:val="24"/>
                <w:u w:val="none"/>
              </w:rPr>
              <w:t>before</w:t>
            </w:r>
            <w:proofErr w:type="spellEnd"/>
            <w:r w:rsidR="002E42AF" w:rsidRPr="00622A32">
              <w:rPr>
                <w:rStyle w:val="Hiperhivatkozs"/>
                <w:rFonts w:ascii="Garamond" w:hAnsi="Garamond"/>
                <w:color w:val="auto"/>
                <w:sz w:val="24"/>
                <w:szCs w:val="24"/>
                <w:u w:val="none"/>
              </w:rPr>
              <w:t xml:space="preserve"> </w:t>
            </w:r>
            <w:proofErr w:type="spellStart"/>
            <w:r w:rsidR="002E42AF" w:rsidRPr="00622A32">
              <w:rPr>
                <w:rStyle w:val="Hiperhivatkozs"/>
                <w:rFonts w:ascii="Garamond" w:hAnsi="Garamond"/>
                <w:color w:val="auto"/>
                <w:sz w:val="24"/>
                <w:szCs w:val="24"/>
                <w:u w:val="none"/>
              </w:rPr>
              <w:t>the</w:t>
            </w:r>
            <w:proofErr w:type="spellEnd"/>
            <w:r w:rsidR="002E42AF" w:rsidRPr="00622A32">
              <w:rPr>
                <w:rStyle w:val="Hiperhivatkozs"/>
                <w:rFonts w:ascii="Garamond" w:hAnsi="Garamond"/>
                <w:color w:val="auto"/>
                <w:sz w:val="24"/>
                <w:szCs w:val="24"/>
                <w:u w:val="none"/>
              </w:rPr>
              <w:t xml:space="preserve"> </w:t>
            </w:r>
            <w:proofErr w:type="spellStart"/>
            <w:r w:rsidR="002E42AF" w:rsidRPr="00622A32">
              <w:rPr>
                <w:rStyle w:val="Hiperhivatkozs"/>
                <w:rFonts w:ascii="Garamond" w:hAnsi="Garamond"/>
                <w:color w:val="auto"/>
                <w:sz w:val="24"/>
                <w:szCs w:val="24"/>
                <w:u w:val="none"/>
              </w:rPr>
              <w:t>ECtHR</w:t>
            </w:r>
            <w:proofErr w:type="spellEnd"/>
            <w:r w:rsidR="00FB4D21" w:rsidRPr="00622A32">
              <w:rPr>
                <w:rStyle w:val="Hiperhivatkozs"/>
                <w:rFonts w:ascii="Garamond" w:hAnsi="Garamond"/>
                <w:color w:val="auto"/>
                <w:sz w:val="24"/>
                <w:szCs w:val="24"/>
                <w:u w:val="none"/>
              </w:rPr>
              <w:t xml:space="preserve">. The </w:t>
            </w:r>
            <w:proofErr w:type="spellStart"/>
            <w:r w:rsidR="00FB4D21" w:rsidRPr="00622A32">
              <w:rPr>
                <w:rStyle w:val="Hiperhivatkozs"/>
                <w:rFonts w:ascii="Garamond" w:hAnsi="Garamond"/>
                <w:color w:val="auto"/>
                <w:sz w:val="24"/>
                <w:szCs w:val="24"/>
                <w:u w:val="none"/>
              </w:rPr>
              <w:t>notion</w:t>
            </w:r>
            <w:proofErr w:type="spellEnd"/>
            <w:r w:rsidR="00FB4D21" w:rsidRPr="00622A32">
              <w:rPr>
                <w:rStyle w:val="Hiperhivatkozs"/>
                <w:rFonts w:ascii="Garamond" w:hAnsi="Garamond"/>
                <w:color w:val="auto"/>
                <w:sz w:val="24"/>
                <w:szCs w:val="24"/>
                <w:u w:val="none"/>
              </w:rPr>
              <w:t xml:space="preserve"> of </w:t>
            </w:r>
            <w:proofErr w:type="spellStart"/>
            <w:r w:rsidR="00FB4D21" w:rsidRPr="00622A32">
              <w:rPr>
                <w:rStyle w:val="Hiperhivatkozs"/>
                <w:rFonts w:ascii="Garamond" w:hAnsi="Garamond"/>
                <w:color w:val="auto"/>
                <w:sz w:val="24"/>
                <w:szCs w:val="24"/>
                <w:u w:val="none"/>
              </w:rPr>
              <w:t>administrative</w:t>
            </w:r>
            <w:proofErr w:type="spellEnd"/>
            <w:r w:rsidR="00FB4D21" w:rsidRPr="00622A32">
              <w:rPr>
                <w:rStyle w:val="Hiperhivatkozs"/>
                <w:rFonts w:ascii="Garamond" w:hAnsi="Garamond"/>
                <w:color w:val="auto"/>
                <w:sz w:val="24"/>
                <w:szCs w:val="24"/>
                <w:u w:val="none"/>
              </w:rPr>
              <w:t xml:space="preserve"> </w:t>
            </w:r>
            <w:proofErr w:type="spellStart"/>
            <w:r w:rsidR="00FB4D21" w:rsidRPr="00622A32">
              <w:rPr>
                <w:rStyle w:val="Hiperhivatkozs"/>
                <w:rFonts w:ascii="Garamond" w:hAnsi="Garamond"/>
                <w:color w:val="auto"/>
                <w:sz w:val="24"/>
                <w:szCs w:val="24"/>
                <w:u w:val="none"/>
              </w:rPr>
              <w:t>dispute</w:t>
            </w:r>
            <w:proofErr w:type="spellEnd"/>
          </w:p>
          <w:p w14:paraId="387903A5" w14:textId="1A3DF531" w:rsidR="00E10AFD" w:rsidRPr="00622A32" w:rsidRDefault="007471D0" w:rsidP="00C81F20">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eastAsia="MS Mincho" w:hAnsi="Garamond" w:cs="Times New Roman"/>
                <w:sz w:val="24"/>
                <w:szCs w:val="24"/>
                <w:lang w:val="en-GB"/>
              </w:rPr>
              <w:t>(</w:t>
            </w:r>
            <w:r w:rsidR="006779DF">
              <w:rPr>
                <w:rFonts w:ascii="Garamond" w:eastAsia="MS Mincho" w:hAnsi="Garamond" w:cs="Times New Roman"/>
                <w:sz w:val="24"/>
                <w:szCs w:val="24"/>
                <w:lang w:val="en-GB"/>
              </w:rPr>
              <w:t>13</w:t>
            </w:r>
            <w:r>
              <w:rPr>
                <w:rFonts w:ascii="Garamond" w:eastAsia="MS Mincho" w:hAnsi="Garamond" w:cs="Times New Roman"/>
                <w:sz w:val="24"/>
                <w:szCs w:val="24"/>
                <w:lang w:val="en-GB"/>
              </w:rPr>
              <w:t xml:space="preserve">/10) </w:t>
            </w:r>
            <w:r w:rsidR="00E10AFD" w:rsidRPr="00622A32">
              <w:rPr>
                <w:rFonts w:ascii="Garamond" w:eastAsia="MS Mincho" w:hAnsi="Garamond" w:cs="Times New Roman"/>
                <w:sz w:val="24"/>
                <w:szCs w:val="24"/>
                <w:lang w:val="en-GB"/>
              </w:rPr>
              <w:t>Powers of courts</w:t>
            </w:r>
            <w:r w:rsidR="002E42AF" w:rsidRPr="00622A32">
              <w:rPr>
                <w:rFonts w:ascii="Garamond" w:eastAsia="MS Mincho" w:hAnsi="Garamond" w:cs="Times New Roman"/>
                <w:sz w:val="24"/>
                <w:szCs w:val="24"/>
                <w:lang w:val="en-GB"/>
              </w:rPr>
              <w:t>.</w:t>
            </w:r>
            <w:r w:rsidR="002E42AF" w:rsidRPr="00622A32">
              <w:rPr>
                <w:rFonts w:eastAsia="MS Mincho" w:cs="Times New Roman"/>
                <w:sz w:val="24"/>
                <w:szCs w:val="24"/>
                <w:lang w:val="en-GB"/>
              </w:rPr>
              <w:t xml:space="preserve"> </w:t>
            </w:r>
            <w:r w:rsidR="00E10AFD" w:rsidRPr="00622A32">
              <w:rPr>
                <w:rFonts w:ascii="Garamond" w:eastAsia="MS Mincho" w:hAnsi="Garamond" w:cs="Times New Roman"/>
                <w:sz w:val="24"/>
                <w:szCs w:val="24"/>
                <w:lang w:val="en-GB"/>
              </w:rPr>
              <w:t>Judicial deference and margins of appreciation</w:t>
            </w:r>
          </w:p>
          <w:p w14:paraId="789A2F97" w14:textId="13395B69" w:rsidR="00541E1A" w:rsidRPr="00622A32" w:rsidRDefault="007471D0" w:rsidP="002E42AF">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hAnsi="Garamond"/>
                <w:sz w:val="24"/>
                <w:szCs w:val="24"/>
              </w:rPr>
              <w:t>(2</w:t>
            </w:r>
            <w:r w:rsidR="006779DF">
              <w:rPr>
                <w:rFonts w:ascii="Garamond" w:hAnsi="Garamond"/>
                <w:sz w:val="24"/>
                <w:szCs w:val="24"/>
              </w:rPr>
              <w:t>0</w:t>
            </w:r>
            <w:r>
              <w:rPr>
                <w:rFonts w:ascii="Garamond" w:hAnsi="Garamond"/>
                <w:sz w:val="24"/>
                <w:szCs w:val="24"/>
              </w:rPr>
              <w:t xml:space="preserve">/10) </w:t>
            </w:r>
            <w:proofErr w:type="spellStart"/>
            <w:r w:rsidR="00AF30BB" w:rsidRPr="00622A32">
              <w:rPr>
                <w:rFonts w:ascii="Garamond" w:hAnsi="Garamond"/>
                <w:sz w:val="24"/>
                <w:szCs w:val="24"/>
              </w:rPr>
              <w:t>Autonomous</w:t>
            </w:r>
            <w:proofErr w:type="spellEnd"/>
            <w:r w:rsidR="00AF30BB" w:rsidRPr="00622A32">
              <w:rPr>
                <w:rFonts w:ascii="Garamond" w:hAnsi="Garamond"/>
                <w:sz w:val="24"/>
                <w:szCs w:val="24"/>
              </w:rPr>
              <w:t xml:space="preserve"> </w:t>
            </w:r>
            <w:proofErr w:type="spellStart"/>
            <w:r w:rsidR="00AF30BB" w:rsidRPr="00622A32">
              <w:rPr>
                <w:rFonts w:ascii="Garamond" w:hAnsi="Garamond"/>
                <w:sz w:val="24"/>
                <w:szCs w:val="24"/>
              </w:rPr>
              <w:t>a</w:t>
            </w:r>
            <w:r w:rsidR="00541E1A" w:rsidRPr="00622A32">
              <w:rPr>
                <w:rFonts w:ascii="Garamond" w:hAnsi="Garamond"/>
                <w:sz w:val="24"/>
                <w:szCs w:val="24"/>
              </w:rPr>
              <w:t>dministrative</w:t>
            </w:r>
            <w:proofErr w:type="spellEnd"/>
            <w:r w:rsidR="00541E1A" w:rsidRPr="00622A32">
              <w:rPr>
                <w:rFonts w:ascii="Garamond" w:hAnsi="Garamond"/>
                <w:sz w:val="24"/>
                <w:szCs w:val="24"/>
              </w:rPr>
              <w:t xml:space="preserve"> </w:t>
            </w:r>
            <w:proofErr w:type="spellStart"/>
            <w:r w:rsidR="00541E1A" w:rsidRPr="00622A32">
              <w:rPr>
                <w:rFonts w:ascii="Garamond" w:hAnsi="Garamond"/>
                <w:sz w:val="24"/>
                <w:szCs w:val="24"/>
              </w:rPr>
              <w:t>courts</w:t>
            </w:r>
            <w:proofErr w:type="spellEnd"/>
            <w:r w:rsidR="00707BB3" w:rsidRPr="00622A32">
              <w:rPr>
                <w:rFonts w:ascii="Garamond" w:hAnsi="Garamond"/>
                <w:sz w:val="24"/>
                <w:szCs w:val="24"/>
              </w:rPr>
              <w:t xml:space="preserve">: a </w:t>
            </w:r>
            <w:proofErr w:type="spellStart"/>
            <w:r w:rsidR="00707BB3" w:rsidRPr="00622A32">
              <w:rPr>
                <w:rFonts w:ascii="Garamond" w:hAnsi="Garamond"/>
                <w:sz w:val="24"/>
                <w:szCs w:val="24"/>
              </w:rPr>
              <w:t>necessity</w:t>
            </w:r>
            <w:proofErr w:type="spellEnd"/>
            <w:r w:rsidR="00707BB3" w:rsidRPr="00622A32">
              <w:rPr>
                <w:rFonts w:ascii="Garamond" w:hAnsi="Garamond"/>
                <w:sz w:val="24"/>
                <w:szCs w:val="24"/>
              </w:rPr>
              <w:t xml:space="preserve"> of </w:t>
            </w:r>
            <w:proofErr w:type="spellStart"/>
            <w:r w:rsidR="00707BB3" w:rsidRPr="00622A32">
              <w:rPr>
                <w:rFonts w:ascii="Garamond" w:hAnsi="Garamond"/>
                <w:sz w:val="24"/>
                <w:szCs w:val="24"/>
              </w:rPr>
              <w:t>effective</w:t>
            </w:r>
            <w:proofErr w:type="spellEnd"/>
            <w:r w:rsidR="00707BB3" w:rsidRPr="00622A32">
              <w:rPr>
                <w:rFonts w:ascii="Garamond" w:hAnsi="Garamond"/>
                <w:sz w:val="24"/>
                <w:szCs w:val="24"/>
              </w:rPr>
              <w:t xml:space="preserve"> </w:t>
            </w:r>
            <w:proofErr w:type="spellStart"/>
            <w:r w:rsidR="00707BB3" w:rsidRPr="00622A32">
              <w:rPr>
                <w:rFonts w:ascii="Garamond" w:hAnsi="Garamond"/>
                <w:sz w:val="24"/>
                <w:szCs w:val="24"/>
              </w:rPr>
              <w:t>judicial</w:t>
            </w:r>
            <w:proofErr w:type="spellEnd"/>
            <w:r w:rsidR="00707BB3" w:rsidRPr="00622A32">
              <w:rPr>
                <w:rFonts w:ascii="Garamond" w:hAnsi="Garamond"/>
                <w:sz w:val="24"/>
                <w:szCs w:val="24"/>
              </w:rPr>
              <w:t xml:space="preserve"> </w:t>
            </w:r>
            <w:proofErr w:type="spellStart"/>
            <w:r w:rsidR="00707BB3" w:rsidRPr="00622A32">
              <w:rPr>
                <w:rFonts w:ascii="Garamond" w:hAnsi="Garamond"/>
                <w:sz w:val="24"/>
                <w:szCs w:val="24"/>
              </w:rPr>
              <w:t>protection</w:t>
            </w:r>
            <w:proofErr w:type="spellEnd"/>
            <w:r w:rsidR="00707BB3" w:rsidRPr="00622A32">
              <w:rPr>
                <w:rFonts w:ascii="Garamond" w:hAnsi="Garamond"/>
                <w:sz w:val="24"/>
                <w:szCs w:val="24"/>
              </w:rPr>
              <w:t>?</w:t>
            </w:r>
            <w:r w:rsidR="00AF30BB" w:rsidRPr="00622A32">
              <w:rPr>
                <w:rFonts w:ascii="Garamond" w:hAnsi="Garamond"/>
                <w:sz w:val="24"/>
                <w:szCs w:val="24"/>
              </w:rPr>
              <w:t xml:space="preserve"> </w:t>
            </w:r>
          </w:p>
          <w:p w14:paraId="04171E7F" w14:textId="3F8AB5A1" w:rsidR="0082520E" w:rsidRPr="00622A32" w:rsidRDefault="007471D0" w:rsidP="0082520E">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eastAsia="MS Mincho" w:hAnsi="Garamond" w:cs="Times New Roman"/>
                <w:sz w:val="24"/>
                <w:szCs w:val="24"/>
                <w:lang w:val="en-GB"/>
              </w:rPr>
              <w:t>(</w:t>
            </w:r>
            <w:r w:rsidR="006779DF">
              <w:rPr>
                <w:rFonts w:ascii="Garamond" w:eastAsia="MS Mincho" w:hAnsi="Garamond" w:cs="Times New Roman"/>
                <w:sz w:val="24"/>
                <w:szCs w:val="24"/>
                <w:lang w:val="en-GB"/>
              </w:rPr>
              <w:t>27</w:t>
            </w:r>
            <w:r>
              <w:rPr>
                <w:rFonts w:ascii="Garamond" w:eastAsia="MS Mincho" w:hAnsi="Garamond" w:cs="Times New Roman"/>
                <w:sz w:val="24"/>
                <w:szCs w:val="24"/>
                <w:lang w:val="en-GB"/>
              </w:rPr>
              <w:t xml:space="preserve">/10) </w:t>
            </w:r>
            <w:r w:rsidR="0082520E" w:rsidRPr="00622A32">
              <w:rPr>
                <w:rFonts w:ascii="Garamond" w:eastAsia="MS Mincho" w:hAnsi="Garamond" w:cs="Times New Roman"/>
                <w:sz w:val="24"/>
                <w:szCs w:val="24"/>
                <w:lang w:val="en-GB"/>
              </w:rPr>
              <w:t>Models of court administration</w:t>
            </w:r>
          </w:p>
          <w:p w14:paraId="37B322F0" w14:textId="4C49EA62" w:rsidR="002E42AF" w:rsidRPr="00622A32" w:rsidRDefault="007471D0" w:rsidP="002E42AF">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hAnsi="Garamond"/>
                <w:sz w:val="24"/>
                <w:szCs w:val="24"/>
              </w:rPr>
              <w:t>(</w:t>
            </w:r>
            <w:r w:rsidR="006779DF">
              <w:rPr>
                <w:rFonts w:ascii="Garamond" w:hAnsi="Garamond"/>
                <w:sz w:val="24"/>
                <w:szCs w:val="24"/>
              </w:rPr>
              <w:t>3</w:t>
            </w:r>
            <w:r>
              <w:rPr>
                <w:rFonts w:ascii="Garamond" w:hAnsi="Garamond"/>
                <w:sz w:val="24"/>
                <w:szCs w:val="24"/>
              </w:rPr>
              <w:t xml:space="preserve">/11) </w:t>
            </w:r>
            <w:proofErr w:type="spellStart"/>
            <w:r w:rsidR="002E42AF" w:rsidRPr="00622A32">
              <w:rPr>
                <w:rFonts w:ascii="Garamond" w:hAnsi="Garamond"/>
                <w:sz w:val="24"/>
                <w:szCs w:val="24"/>
              </w:rPr>
              <w:t>Judicial</w:t>
            </w:r>
            <w:proofErr w:type="spellEnd"/>
            <w:r w:rsidR="002E42AF" w:rsidRPr="00622A32">
              <w:rPr>
                <w:rFonts w:ascii="Garamond" w:hAnsi="Garamond"/>
                <w:sz w:val="24"/>
                <w:szCs w:val="24"/>
              </w:rPr>
              <w:t xml:space="preserve"> </w:t>
            </w:r>
            <w:proofErr w:type="spellStart"/>
            <w:r w:rsidR="002E42AF" w:rsidRPr="00622A32">
              <w:rPr>
                <w:rFonts w:ascii="Garamond" w:hAnsi="Garamond"/>
                <w:sz w:val="24"/>
                <w:szCs w:val="24"/>
              </w:rPr>
              <w:t>independence</w:t>
            </w:r>
            <w:proofErr w:type="spellEnd"/>
            <w:r w:rsidR="002E42AF" w:rsidRPr="00622A32">
              <w:rPr>
                <w:rFonts w:ascii="Garamond" w:hAnsi="Garamond"/>
                <w:sz w:val="24"/>
                <w:szCs w:val="24"/>
              </w:rPr>
              <w:t>:</w:t>
            </w:r>
            <w:r w:rsidR="0082520E">
              <w:rPr>
                <w:rFonts w:ascii="Garamond" w:hAnsi="Garamond"/>
                <w:sz w:val="24"/>
                <w:szCs w:val="24"/>
              </w:rPr>
              <w:t xml:space="preserve"> </w:t>
            </w:r>
            <w:proofErr w:type="spellStart"/>
            <w:r w:rsidR="002E42AF" w:rsidRPr="00622A32">
              <w:rPr>
                <w:rFonts w:ascii="Garamond" w:hAnsi="Garamond"/>
                <w:sz w:val="24"/>
                <w:szCs w:val="24"/>
              </w:rPr>
              <w:t>institutional</w:t>
            </w:r>
            <w:proofErr w:type="spellEnd"/>
            <w:r w:rsidR="002E42AF" w:rsidRPr="00622A32">
              <w:rPr>
                <w:rFonts w:ascii="Garamond" w:hAnsi="Garamond"/>
                <w:sz w:val="24"/>
                <w:szCs w:val="24"/>
              </w:rPr>
              <w:t xml:space="preserve"> </w:t>
            </w:r>
            <w:proofErr w:type="spellStart"/>
            <w:r w:rsidR="002E42AF" w:rsidRPr="00622A32">
              <w:rPr>
                <w:rFonts w:ascii="Garamond" w:hAnsi="Garamond"/>
                <w:sz w:val="24"/>
                <w:szCs w:val="24"/>
              </w:rPr>
              <w:t>aspects</w:t>
            </w:r>
            <w:proofErr w:type="spellEnd"/>
          </w:p>
          <w:p w14:paraId="6E502B06" w14:textId="454553CE" w:rsidR="002E42AF" w:rsidRPr="00622A32" w:rsidRDefault="007471D0" w:rsidP="002E42AF">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hAnsi="Garamond"/>
                <w:sz w:val="24"/>
                <w:szCs w:val="24"/>
              </w:rPr>
              <w:t>(</w:t>
            </w:r>
            <w:r w:rsidR="006779DF">
              <w:rPr>
                <w:rFonts w:ascii="Garamond" w:hAnsi="Garamond"/>
                <w:sz w:val="24"/>
                <w:szCs w:val="24"/>
              </w:rPr>
              <w:t>10</w:t>
            </w:r>
            <w:r>
              <w:rPr>
                <w:rFonts w:ascii="Garamond" w:hAnsi="Garamond"/>
                <w:sz w:val="24"/>
                <w:szCs w:val="24"/>
              </w:rPr>
              <w:t xml:space="preserve">/11) </w:t>
            </w:r>
            <w:proofErr w:type="spellStart"/>
            <w:r w:rsidR="002E42AF" w:rsidRPr="00622A32">
              <w:rPr>
                <w:rFonts w:ascii="Garamond" w:hAnsi="Garamond"/>
                <w:sz w:val="24"/>
                <w:szCs w:val="24"/>
              </w:rPr>
              <w:t>Personal</w:t>
            </w:r>
            <w:proofErr w:type="spellEnd"/>
            <w:r w:rsidR="002E42AF" w:rsidRPr="00622A32">
              <w:rPr>
                <w:rFonts w:ascii="Garamond" w:hAnsi="Garamond"/>
                <w:sz w:val="24"/>
                <w:szCs w:val="24"/>
              </w:rPr>
              <w:t xml:space="preserve"> </w:t>
            </w:r>
            <w:proofErr w:type="spellStart"/>
            <w:r w:rsidR="002E42AF" w:rsidRPr="00622A32">
              <w:rPr>
                <w:rFonts w:ascii="Garamond" w:hAnsi="Garamond"/>
                <w:sz w:val="24"/>
                <w:szCs w:val="24"/>
              </w:rPr>
              <w:t>aspects</w:t>
            </w:r>
            <w:proofErr w:type="spellEnd"/>
            <w:r w:rsidR="002E42AF" w:rsidRPr="00622A32">
              <w:rPr>
                <w:rFonts w:ascii="Garamond" w:hAnsi="Garamond"/>
                <w:sz w:val="24"/>
                <w:szCs w:val="24"/>
              </w:rPr>
              <w:t xml:space="preserve"> of </w:t>
            </w:r>
            <w:proofErr w:type="spellStart"/>
            <w:r w:rsidR="002E42AF" w:rsidRPr="00622A32">
              <w:rPr>
                <w:rFonts w:ascii="Garamond" w:hAnsi="Garamond"/>
                <w:sz w:val="24"/>
                <w:szCs w:val="24"/>
              </w:rPr>
              <w:t>judicial</w:t>
            </w:r>
            <w:proofErr w:type="spellEnd"/>
            <w:r w:rsidR="002E42AF" w:rsidRPr="00622A32">
              <w:rPr>
                <w:rFonts w:ascii="Garamond" w:hAnsi="Garamond"/>
                <w:sz w:val="24"/>
                <w:szCs w:val="24"/>
              </w:rPr>
              <w:t xml:space="preserve"> </w:t>
            </w:r>
            <w:proofErr w:type="spellStart"/>
            <w:r w:rsidR="002E42AF" w:rsidRPr="00622A32">
              <w:rPr>
                <w:rFonts w:ascii="Garamond" w:hAnsi="Garamond"/>
                <w:sz w:val="24"/>
                <w:szCs w:val="24"/>
              </w:rPr>
              <w:t>independence</w:t>
            </w:r>
            <w:proofErr w:type="spellEnd"/>
            <w:r w:rsidR="002E42AF" w:rsidRPr="00622A32">
              <w:rPr>
                <w:rFonts w:ascii="Garamond" w:hAnsi="Garamond"/>
                <w:sz w:val="24"/>
                <w:szCs w:val="24"/>
              </w:rPr>
              <w:t xml:space="preserve"> and </w:t>
            </w:r>
            <w:proofErr w:type="spellStart"/>
            <w:r w:rsidR="002E42AF" w:rsidRPr="00622A32">
              <w:rPr>
                <w:rFonts w:ascii="Garamond" w:hAnsi="Garamond"/>
                <w:sz w:val="24"/>
                <w:szCs w:val="24"/>
              </w:rPr>
              <w:t>impartiality</w:t>
            </w:r>
            <w:proofErr w:type="spellEnd"/>
            <w:r w:rsidR="00622A32" w:rsidRPr="00622A32">
              <w:rPr>
                <w:rFonts w:ascii="Garamond" w:hAnsi="Garamond"/>
                <w:sz w:val="24"/>
                <w:szCs w:val="24"/>
              </w:rPr>
              <w:t xml:space="preserve">. </w:t>
            </w:r>
            <w:proofErr w:type="spellStart"/>
            <w:r w:rsidR="00622A32" w:rsidRPr="00622A32">
              <w:rPr>
                <w:rFonts w:ascii="Garamond" w:hAnsi="Garamond"/>
                <w:sz w:val="24"/>
                <w:szCs w:val="24"/>
              </w:rPr>
              <w:t>Selection</w:t>
            </w:r>
            <w:proofErr w:type="spellEnd"/>
            <w:r w:rsidR="00622A32" w:rsidRPr="00622A32">
              <w:rPr>
                <w:rFonts w:ascii="Garamond" w:hAnsi="Garamond"/>
                <w:sz w:val="24"/>
                <w:szCs w:val="24"/>
              </w:rPr>
              <w:t xml:space="preserve"> of </w:t>
            </w:r>
            <w:proofErr w:type="spellStart"/>
            <w:r w:rsidR="00622A32" w:rsidRPr="00622A32">
              <w:rPr>
                <w:rFonts w:ascii="Garamond" w:hAnsi="Garamond"/>
                <w:sz w:val="24"/>
                <w:szCs w:val="24"/>
              </w:rPr>
              <w:t>judges</w:t>
            </w:r>
            <w:proofErr w:type="spellEnd"/>
            <w:r w:rsidR="0082520E">
              <w:rPr>
                <w:rFonts w:ascii="Garamond" w:hAnsi="Garamond"/>
                <w:sz w:val="24"/>
                <w:szCs w:val="24"/>
              </w:rPr>
              <w:t xml:space="preserve"> and </w:t>
            </w:r>
            <w:proofErr w:type="spellStart"/>
            <w:r w:rsidR="0082520E">
              <w:rPr>
                <w:rFonts w:ascii="Garamond" w:hAnsi="Garamond"/>
                <w:sz w:val="24"/>
                <w:szCs w:val="24"/>
              </w:rPr>
              <w:t>case</w:t>
            </w:r>
            <w:proofErr w:type="spellEnd"/>
            <w:r w:rsidR="0082520E">
              <w:rPr>
                <w:rFonts w:ascii="Garamond" w:hAnsi="Garamond"/>
                <w:sz w:val="24"/>
                <w:szCs w:val="24"/>
              </w:rPr>
              <w:t xml:space="preserve"> </w:t>
            </w:r>
            <w:proofErr w:type="spellStart"/>
            <w:r w:rsidR="0082520E">
              <w:rPr>
                <w:rFonts w:ascii="Garamond" w:hAnsi="Garamond"/>
                <w:sz w:val="24"/>
                <w:szCs w:val="24"/>
              </w:rPr>
              <w:t>distribution</w:t>
            </w:r>
            <w:proofErr w:type="spellEnd"/>
          </w:p>
          <w:p w14:paraId="036AE8C7" w14:textId="78B9E2BD" w:rsidR="00E10AFD" w:rsidRPr="00622A32" w:rsidRDefault="007471D0" w:rsidP="00E10AFD">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eastAsia="MS Mincho" w:hAnsi="Garamond" w:cs="Times New Roman"/>
                <w:sz w:val="24"/>
                <w:szCs w:val="24"/>
                <w:lang w:val="en-GB"/>
              </w:rPr>
              <w:t>(1</w:t>
            </w:r>
            <w:r w:rsidR="006779DF">
              <w:rPr>
                <w:rFonts w:ascii="Garamond" w:eastAsia="MS Mincho" w:hAnsi="Garamond" w:cs="Times New Roman"/>
                <w:sz w:val="24"/>
                <w:szCs w:val="24"/>
                <w:lang w:val="en-GB"/>
              </w:rPr>
              <w:t>7</w:t>
            </w:r>
            <w:r>
              <w:rPr>
                <w:rFonts w:ascii="Garamond" w:eastAsia="MS Mincho" w:hAnsi="Garamond" w:cs="Times New Roman"/>
                <w:sz w:val="24"/>
                <w:szCs w:val="24"/>
                <w:lang w:val="en-GB"/>
              </w:rPr>
              <w:t xml:space="preserve">/11) </w:t>
            </w:r>
            <w:r w:rsidR="00622A32" w:rsidRPr="00622A32">
              <w:rPr>
                <w:rFonts w:ascii="Garamond" w:eastAsia="MS Mincho" w:hAnsi="Garamond" w:cs="Times New Roman"/>
                <w:sz w:val="24"/>
                <w:szCs w:val="24"/>
                <w:lang w:val="en-GB"/>
              </w:rPr>
              <w:t>Timeliness</w:t>
            </w:r>
            <w:r w:rsidR="00FB4D21" w:rsidRPr="00622A32">
              <w:rPr>
                <w:rFonts w:ascii="Garamond" w:eastAsia="MS Mincho" w:hAnsi="Garamond" w:cs="Times New Roman"/>
                <w:sz w:val="24"/>
                <w:szCs w:val="24"/>
                <w:lang w:val="en-GB"/>
              </w:rPr>
              <w:t xml:space="preserve"> and s</w:t>
            </w:r>
            <w:r w:rsidR="00707BB3" w:rsidRPr="00622A32">
              <w:rPr>
                <w:rFonts w:ascii="Garamond" w:eastAsia="MS Mincho" w:hAnsi="Garamond" w:cs="Times New Roman"/>
                <w:sz w:val="24"/>
                <w:szCs w:val="24"/>
                <w:lang w:val="en-GB"/>
              </w:rPr>
              <w:t xml:space="preserve">upervision of </w:t>
            </w:r>
            <w:r w:rsidR="006A78A1" w:rsidRPr="00622A32">
              <w:rPr>
                <w:rFonts w:ascii="Garamond" w:eastAsia="MS Mincho" w:hAnsi="Garamond" w:cs="Times New Roman"/>
                <w:sz w:val="24"/>
                <w:szCs w:val="24"/>
                <w:lang w:val="en-GB"/>
              </w:rPr>
              <w:t>judges</w:t>
            </w:r>
          </w:p>
          <w:p w14:paraId="3770D1D1" w14:textId="3BD65250" w:rsidR="006A78A1" w:rsidRPr="00622A32" w:rsidRDefault="007471D0" w:rsidP="006A78A1">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eastAsia="MS Mincho" w:hAnsi="Garamond" w:cs="Times New Roman"/>
                <w:sz w:val="24"/>
                <w:szCs w:val="24"/>
                <w:lang w:val="en-GB"/>
              </w:rPr>
              <w:t>(2</w:t>
            </w:r>
            <w:r w:rsidR="006779DF">
              <w:rPr>
                <w:rFonts w:ascii="Garamond" w:eastAsia="MS Mincho" w:hAnsi="Garamond" w:cs="Times New Roman"/>
                <w:sz w:val="24"/>
                <w:szCs w:val="24"/>
                <w:lang w:val="en-GB"/>
              </w:rPr>
              <w:t>4</w:t>
            </w:r>
            <w:r>
              <w:rPr>
                <w:rFonts w:ascii="Garamond" w:eastAsia="MS Mincho" w:hAnsi="Garamond" w:cs="Times New Roman"/>
                <w:sz w:val="24"/>
                <w:szCs w:val="24"/>
                <w:lang w:val="en-GB"/>
              </w:rPr>
              <w:t xml:space="preserve">/11) </w:t>
            </w:r>
            <w:r w:rsidR="006A78A1" w:rsidRPr="00622A32">
              <w:rPr>
                <w:rFonts w:ascii="Garamond" w:eastAsia="MS Mincho" w:hAnsi="Garamond" w:cs="Times New Roman"/>
                <w:sz w:val="24"/>
                <w:szCs w:val="24"/>
                <w:lang w:val="en-GB"/>
              </w:rPr>
              <w:t>The system of remedies and its role in ensuring quality and unity of jurisdiction. The question marks of special instruments for the uniformity.</w:t>
            </w:r>
          </w:p>
          <w:p w14:paraId="5BDF9CAC" w14:textId="0B668B58" w:rsidR="00802307" w:rsidRPr="00622A32" w:rsidRDefault="007471D0" w:rsidP="00802307">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eastAsia="MS Mincho" w:hAnsi="Garamond" w:cs="Times New Roman"/>
                <w:sz w:val="24"/>
                <w:szCs w:val="24"/>
                <w:lang w:val="en-GB"/>
              </w:rPr>
              <w:t>(0</w:t>
            </w:r>
            <w:r w:rsidR="006779DF">
              <w:rPr>
                <w:rFonts w:ascii="Garamond" w:eastAsia="MS Mincho" w:hAnsi="Garamond" w:cs="Times New Roman"/>
                <w:sz w:val="24"/>
                <w:szCs w:val="24"/>
                <w:lang w:val="en-GB"/>
              </w:rPr>
              <w:t>1</w:t>
            </w:r>
            <w:r>
              <w:rPr>
                <w:rFonts w:ascii="Garamond" w:eastAsia="MS Mincho" w:hAnsi="Garamond" w:cs="Times New Roman"/>
                <w:sz w:val="24"/>
                <w:szCs w:val="24"/>
                <w:lang w:val="en-GB"/>
              </w:rPr>
              <w:t>/1</w:t>
            </w:r>
            <w:r w:rsidR="006779DF">
              <w:rPr>
                <w:rFonts w:ascii="Garamond" w:eastAsia="MS Mincho" w:hAnsi="Garamond" w:cs="Times New Roman"/>
                <w:sz w:val="24"/>
                <w:szCs w:val="24"/>
                <w:lang w:val="en-GB"/>
              </w:rPr>
              <w:t>2</w:t>
            </w:r>
            <w:r>
              <w:rPr>
                <w:rFonts w:ascii="Garamond" w:eastAsia="MS Mincho" w:hAnsi="Garamond" w:cs="Times New Roman"/>
                <w:sz w:val="24"/>
                <w:szCs w:val="24"/>
                <w:lang w:val="en-GB"/>
              </w:rPr>
              <w:t xml:space="preserve">) </w:t>
            </w:r>
            <w:r w:rsidR="00802307" w:rsidRPr="00622A32">
              <w:rPr>
                <w:rFonts w:ascii="Garamond" w:eastAsia="MS Mincho" w:hAnsi="Garamond" w:cs="Times New Roman"/>
                <w:sz w:val="24"/>
                <w:szCs w:val="24"/>
                <w:lang w:val="en-GB"/>
              </w:rPr>
              <w:t>State liability: models and important trends</w:t>
            </w:r>
            <w:r w:rsidR="006779DF">
              <w:rPr>
                <w:rFonts w:ascii="Garamond" w:eastAsia="MS Mincho" w:hAnsi="Garamond" w:cs="Times New Roman"/>
                <w:sz w:val="24"/>
                <w:szCs w:val="24"/>
                <w:lang w:val="en-GB"/>
              </w:rPr>
              <w:t>. Final exam (written in class)</w:t>
            </w:r>
          </w:p>
          <w:p w14:paraId="393D2282" w14:textId="723185B9" w:rsidR="006A78A1" w:rsidRPr="002E42AF" w:rsidRDefault="007471D0" w:rsidP="00E10AFD">
            <w:pPr>
              <w:pStyle w:val="Listaszerbekezds"/>
              <w:numPr>
                <w:ilvl w:val="0"/>
                <w:numId w:val="10"/>
              </w:numPr>
              <w:autoSpaceDE w:val="0"/>
              <w:autoSpaceDN w:val="0"/>
              <w:adjustRightInd w:val="0"/>
              <w:jc w:val="both"/>
              <w:rPr>
                <w:rFonts w:ascii="Garamond" w:eastAsia="MS Mincho" w:hAnsi="Garamond" w:cs="Times New Roman"/>
                <w:sz w:val="24"/>
                <w:szCs w:val="24"/>
                <w:lang w:val="en-GB"/>
              </w:rPr>
            </w:pPr>
            <w:r>
              <w:rPr>
                <w:rFonts w:ascii="Garamond" w:eastAsia="MS Mincho" w:hAnsi="Garamond" w:cs="Times New Roman"/>
                <w:sz w:val="24"/>
                <w:szCs w:val="24"/>
                <w:lang w:val="en-GB"/>
              </w:rPr>
              <w:t>(</w:t>
            </w:r>
            <w:r w:rsidR="006779DF">
              <w:rPr>
                <w:rFonts w:ascii="Garamond" w:eastAsia="MS Mincho" w:hAnsi="Garamond" w:cs="Times New Roman"/>
                <w:sz w:val="24"/>
                <w:szCs w:val="24"/>
                <w:lang w:val="en-GB"/>
              </w:rPr>
              <w:t>8</w:t>
            </w:r>
            <w:r>
              <w:rPr>
                <w:rFonts w:ascii="Garamond" w:eastAsia="MS Mincho" w:hAnsi="Garamond" w:cs="Times New Roman"/>
                <w:sz w:val="24"/>
                <w:szCs w:val="24"/>
                <w:lang w:val="en-GB"/>
              </w:rPr>
              <w:t xml:space="preserve">/12) </w:t>
            </w:r>
            <w:r w:rsidR="006A78A1" w:rsidRPr="00622A32">
              <w:rPr>
                <w:rFonts w:ascii="Garamond" w:eastAsia="MS Mincho" w:hAnsi="Garamond" w:cs="Times New Roman"/>
                <w:sz w:val="24"/>
                <w:szCs w:val="24"/>
                <w:lang w:val="en-GB"/>
              </w:rPr>
              <w:t>Actual questions</w:t>
            </w:r>
            <w:r w:rsidR="00802307">
              <w:rPr>
                <w:rFonts w:ascii="Garamond" w:eastAsia="MS Mincho" w:hAnsi="Garamond" w:cs="Times New Roman"/>
                <w:sz w:val="24"/>
                <w:szCs w:val="24"/>
                <w:lang w:val="en-GB"/>
              </w:rPr>
              <w:t xml:space="preserve"> a</w:t>
            </w:r>
            <w:r w:rsidR="006779DF">
              <w:rPr>
                <w:rFonts w:ascii="Garamond" w:eastAsia="MS Mincho" w:hAnsi="Garamond" w:cs="Times New Roman"/>
                <w:sz w:val="24"/>
                <w:szCs w:val="24"/>
                <w:lang w:val="en-GB"/>
              </w:rPr>
              <w:t>nd</w:t>
            </w:r>
            <w:r w:rsidR="00802307">
              <w:rPr>
                <w:rFonts w:ascii="Garamond" w:eastAsia="MS Mincho" w:hAnsi="Garamond" w:cs="Times New Roman"/>
                <w:sz w:val="24"/>
                <w:szCs w:val="24"/>
                <w:lang w:val="en-GB"/>
              </w:rPr>
              <w:t xml:space="preserve"> wrap up</w:t>
            </w:r>
          </w:p>
        </w:tc>
      </w:tr>
      <w:tr w:rsidR="0013685C" w:rsidRPr="004C29A2" w14:paraId="001653A9" w14:textId="7961B462" w:rsidTr="00622A32">
        <w:trPr>
          <w:trHeight w:val="2211"/>
        </w:trPr>
        <w:tc>
          <w:tcPr>
            <w:tcW w:w="2137" w:type="dxa"/>
          </w:tcPr>
          <w:p w14:paraId="37FD00D9" w14:textId="470ADAA6" w:rsidR="0013685C" w:rsidRPr="004C29A2" w:rsidRDefault="0013685C" w:rsidP="00B91483">
            <w:pPr>
              <w:autoSpaceDE w:val="0"/>
              <w:autoSpaceDN w:val="0"/>
              <w:adjustRightInd w:val="0"/>
              <w:jc w:val="both"/>
              <w:rPr>
                <w:rFonts w:ascii="Garamond" w:eastAsia="MS Mincho" w:hAnsi="Garamond" w:cs="Times New Roman"/>
                <w:b/>
                <w:bCs/>
                <w:sz w:val="24"/>
                <w:szCs w:val="24"/>
                <w:lang w:val="en-GB"/>
              </w:rPr>
            </w:pPr>
            <w:r w:rsidRPr="004C29A2">
              <w:rPr>
                <w:rFonts w:ascii="Garamond" w:eastAsia="MS Mincho" w:hAnsi="Garamond" w:cs="Times New Roman"/>
                <w:b/>
                <w:bCs/>
                <w:sz w:val="24"/>
                <w:szCs w:val="24"/>
                <w:lang w:val="en-GB"/>
              </w:rPr>
              <w:t>Materials/</w:t>
            </w:r>
            <w:r w:rsidR="004C29A2" w:rsidRPr="004C29A2">
              <w:rPr>
                <w:rFonts w:ascii="Garamond" w:eastAsia="MS Mincho" w:hAnsi="Garamond" w:cs="Times New Roman"/>
                <w:b/>
                <w:bCs/>
                <w:sz w:val="24"/>
                <w:szCs w:val="24"/>
                <w:lang w:val="en-GB"/>
              </w:rPr>
              <w:t xml:space="preserve"> </w:t>
            </w:r>
            <w:r w:rsidRPr="004C29A2">
              <w:rPr>
                <w:rFonts w:ascii="Garamond" w:eastAsia="MS Mincho" w:hAnsi="Garamond" w:cs="Times New Roman"/>
                <w:b/>
                <w:bCs/>
                <w:sz w:val="24"/>
                <w:szCs w:val="24"/>
                <w:lang w:val="en-GB"/>
              </w:rPr>
              <w:t>Recommended readings</w:t>
            </w:r>
          </w:p>
        </w:tc>
        <w:tc>
          <w:tcPr>
            <w:tcW w:w="7787" w:type="dxa"/>
          </w:tcPr>
          <w:p w14:paraId="690EB363" w14:textId="455D61A8" w:rsidR="00337CBD" w:rsidRPr="00337CBD" w:rsidRDefault="00337CBD" w:rsidP="0013715B">
            <w:pPr>
              <w:pStyle w:val="Cmsor3"/>
              <w:shd w:val="clear" w:color="auto" w:fill="FFFFFF"/>
              <w:spacing w:before="0" w:beforeAutospacing="0" w:after="0" w:afterAutospacing="0"/>
              <w:outlineLvl w:val="2"/>
              <w:rPr>
                <w:rFonts w:ascii="Garamond" w:hAnsi="Garamond"/>
                <w:b w:val="0"/>
                <w:bCs w:val="0"/>
                <w:sz w:val="24"/>
                <w:szCs w:val="24"/>
                <w:lang w:eastAsia="en-US"/>
              </w:rPr>
            </w:pPr>
            <w:r w:rsidRPr="00DB5728">
              <w:rPr>
                <w:rFonts w:ascii="Garamond" w:hAnsi="Garamond"/>
                <w:b w:val="0"/>
                <w:bCs w:val="0"/>
                <w:sz w:val="24"/>
                <w:szCs w:val="24"/>
                <w:lang w:eastAsia="en-US"/>
              </w:rPr>
              <w:t xml:space="preserve">Christoph </w:t>
            </w:r>
            <w:proofErr w:type="spellStart"/>
            <w:r w:rsidRPr="00DB5728">
              <w:rPr>
                <w:rFonts w:ascii="Garamond" w:hAnsi="Garamond"/>
                <w:b w:val="0"/>
                <w:bCs w:val="0"/>
                <w:sz w:val="24"/>
                <w:szCs w:val="24"/>
                <w:lang w:eastAsia="en-US"/>
              </w:rPr>
              <w:t>Grabenwarter</w:t>
            </w:r>
            <w:proofErr w:type="spellEnd"/>
            <w:r w:rsidR="00DB5728">
              <w:rPr>
                <w:rFonts w:ascii="Garamond" w:hAnsi="Garamond"/>
                <w:b w:val="0"/>
                <w:bCs w:val="0"/>
                <w:sz w:val="24"/>
                <w:szCs w:val="24"/>
                <w:lang w:eastAsia="en-US"/>
              </w:rPr>
              <w:t>:</w:t>
            </w:r>
            <w:r w:rsidRPr="00DB5728">
              <w:rPr>
                <w:rFonts w:ascii="Garamond" w:hAnsi="Garamond"/>
                <w:b w:val="0"/>
                <w:bCs w:val="0"/>
                <w:sz w:val="24"/>
                <w:szCs w:val="24"/>
                <w:lang w:eastAsia="en-US"/>
              </w:rPr>
              <w:t xml:space="preserve"> European </w:t>
            </w:r>
            <w:proofErr w:type="spellStart"/>
            <w:r w:rsidRPr="00DB5728">
              <w:rPr>
                <w:rFonts w:ascii="Garamond" w:hAnsi="Garamond"/>
                <w:b w:val="0"/>
                <w:bCs w:val="0"/>
                <w:sz w:val="24"/>
                <w:szCs w:val="24"/>
                <w:lang w:eastAsia="en-US"/>
              </w:rPr>
              <w:t>Convention</w:t>
            </w:r>
            <w:proofErr w:type="spellEnd"/>
            <w:r w:rsidRPr="00DB5728">
              <w:rPr>
                <w:rFonts w:ascii="Garamond" w:hAnsi="Garamond"/>
                <w:b w:val="0"/>
                <w:bCs w:val="0"/>
                <w:sz w:val="24"/>
                <w:szCs w:val="24"/>
                <w:lang w:eastAsia="en-US"/>
              </w:rPr>
              <w:t xml:space="preserve"> </w:t>
            </w:r>
            <w:proofErr w:type="spellStart"/>
            <w:r w:rsidRPr="00DB5728">
              <w:rPr>
                <w:rFonts w:ascii="Garamond" w:hAnsi="Garamond"/>
                <w:b w:val="0"/>
                <w:bCs w:val="0"/>
                <w:sz w:val="24"/>
                <w:szCs w:val="24"/>
                <w:lang w:eastAsia="en-US"/>
              </w:rPr>
              <w:t>on</w:t>
            </w:r>
            <w:proofErr w:type="spellEnd"/>
            <w:r w:rsidRPr="00DB5728">
              <w:rPr>
                <w:rFonts w:ascii="Garamond" w:hAnsi="Garamond"/>
                <w:b w:val="0"/>
                <w:bCs w:val="0"/>
                <w:sz w:val="24"/>
                <w:szCs w:val="24"/>
                <w:lang w:eastAsia="en-US"/>
              </w:rPr>
              <w:t xml:space="preserve"> Human </w:t>
            </w:r>
            <w:proofErr w:type="spellStart"/>
            <w:r w:rsidRPr="00DB5728">
              <w:rPr>
                <w:rFonts w:ascii="Garamond" w:hAnsi="Garamond"/>
                <w:b w:val="0"/>
                <w:bCs w:val="0"/>
                <w:sz w:val="24"/>
                <w:szCs w:val="24"/>
                <w:lang w:eastAsia="en-US"/>
              </w:rPr>
              <w:t>Rights</w:t>
            </w:r>
            <w:proofErr w:type="spellEnd"/>
            <w:r w:rsidRPr="00DB5728">
              <w:rPr>
                <w:rFonts w:ascii="Garamond" w:hAnsi="Garamond"/>
                <w:b w:val="0"/>
                <w:bCs w:val="0"/>
                <w:sz w:val="24"/>
                <w:szCs w:val="24"/>
                <w:lang w:eastAsia="en-US"/>
              </w:rPr>
              <w:t xml:space="preserve"> – </w:t>
            </w:r>
            <w:proofErr w:type="spellStart"/>
            <w:r w:rsidRPr="00DB5728">
              <w:rPr>
                <w:rFonts w:ascii="Garamond" w:hAnsi="Garamond"/>
                <w:b w:val="0"/>
                <w:bCs w:val="0"/>
                <w:sz w:val="24"/>
                <w:szCs w:val="24"/>
                <w:lang w:eastAsia="en-US"/>
              </w:rPr>
              <w:t>Commentary</w:t>
            </w:r>
            <w:proofErr w:type="spellEnd"/>
            <w:r w:rsidRPr="00DB5728">
              <w:rPr>
                <w:rFonts w:ascii="Garamond" w:hAnsi="Garamond"/>
                <w:b w:val="0"/>
                <w:bCs w:val="0"/>
                <w:sz w:val="24"/>
                <w:szCs w:val="24"/>
                <w:lang w:eastAsia="en-US"/>
              </w:rPr>
              <w:t>, München: Beck</w:t>
            </w:r>
            <w:r w:rsidR="00DB5728">
              <w:rPr>
                <w:rFonts w:ascii="Garamond" w:hAnsi="Garamond"/>
                <w:b w:val="0"/>
                <w:bCs w:val="0"/>
                <w:sz w:val="24"/>
                <w:szCs w:val="24"/>
                <w:lang w:eastAsia="en-US"/>
              </w:rPr>
              <w:t>, 2014</w:t>
            </w:r>
            <w:r w:rsidRPr="00DB5728">
              <w:rPr>
                <w:rFonts w:ascii="Garamond" w:hAnsi="Garamond"/>
                <w:b w:val="0"/>
                <w:bCs w:val="0"/>
                <w:sz w:val="24"/>
                <w:szCs w:val="24"/>
                <w:lang w:eastAsia="en-US"/>
              </w:rPr>
              <w:t>. 98-</w:t>
            </w:r>
            <w:r w:rsidR="00DB5728" w:rsidRPr="00DB5728">
              <w:rPr>
                <w:rFonts w:ascii="Garamond" w:hAnsi="Garamond"/>
                <w:b w:val="0"/>
                <w:bCs w:val="0"/>
                <w:sz w:val="24"/>
                <w:szCs w:val="24"/>
                <w:lang w:eastAsia="en-US"/>
              </w:rPr>
              <w:t>170</w:t>
            </w:r>
            <w:r w:rsidR="00DB5728">
              <w:rPr>
                <w:rFonts w:ascii="Garamond" w:hAnsi="Garamond"/>
                <w:b w:val="0"/>
                <w:bCs w:val="0"/>
                <w:sz w:val="24"/>
                <w:szCs w:val="24"/>
                <w:lang w:eastAsia="en-US"/>
              </w:rPr>
              <w:t>.</w:t>
            </w:r>
          </w:p>
          <w:p w14:paraId="0C3E0433" w14:textId="7D27A4F4" w:rsidR="0013715B" w:rsidRPr="00622A32" w:rsidRDefault="00C0165F" w:rsidP="0013715B">
            <w:pPr>
              <w:pStyle w:val="Cmsor3"/>
              <w:shd w:val="clear" w:color="auto" w:fill="FFFFFF"/>
              <w:spacing w:before="0" w:beforeAutospacing="0" w:after="0" w:afterAutospacing="0"/>
              <w:outlineLvl w:val="2"/>
              <w:rPr>
                <w:rFonts w:ascii="Garamond" w:hAnsi="Garamond"/>
                <w:b w:val="0"/>
                <w:bCs w:val="0"/>
                <w:sz w:val="24"/>
                <w:szCs w:val="24"/>
                <w:lang w:eastAsia="en-US"/>
              </w:rPr>
            </w:pPr>
            <w:r w:rsidRPr="00622A32">
              <w:rPr>
                <w:rFonts w:ascii="Garamond" w:hAnsi="Garamond"/>
                <w:b w:val="0"/>
                <w:bCs w:val="0"/>
                <w:sz w:val="24"/>
                <w:szCs w:val="24"/>
                <w:lang w:eastAsia="en-US"/>
              </w:rPr>
              <w:t xml:space="preserve">David Harris, Michael </w:t>
            </w:r>
            <w:proofErr w:type="spellStart"/>
            <w:r w:rsidRPr="00622A32">
              <w:rPr>
                <w:rFonts w:ascii="Garamond" w:hAnsi="Garamond"/>
                <w:b w:val="0"/>
                <w:bCs w:val="0"/>
                <w:sz w:val="24"/>
                <w:szCs w:val="24"/>
                <w:lang w:eastAsia="en-US"/>
              </w:rPr>
              <w:t>O'Boyle</w:t>
            </w:r>
            <w:proofErr w:type="spellEnd"/>
            <w:r w:rsidRPr="00622A32">
              <w:rPr>
                <w:rFonts w:ascii="Garamond" w:hAnsi="Garamond"/>
                <w:b w:val="0"/>
                <w:bCs w:val="0"/>
                <w:sz w:val="24"/>
                <w:szCs w:val="24"/>
                <w:lang w:eastAsia="en-US"/>
              </w:rPr>
              <w:t>, </w:t>
            </w:r>
            <w:proofErr w:type="spellStart"/>
            <w:r w:rsidRPr="00622A32">
              <w:rPr>
                <w:rFonts w:ascii="Garamond" w:hAnsi="Garamond"/>
                <w:b w:val="0"/>
                <w:bCs w:val="0"/>
                <w:sz w:val="24"/>
                <w:szCs w:val="24"/>
                <w:lang w:eastAsia="en-US"/>
              </w:rPr>
              <w:t>Ed</w:t>
            </w:r>
            <w:proofErr w:type="spellEnd"/>
            <w:r w:rsidRPr="00622A32">
              <w:rPr>
                <w:rFonts w:ascii="Garamond" w:hAnsi="Garamond"/>
                <w:b w:val="0"/>
                <w:bCs w:val="0"/>
                <w:sz w:val="24"/>
                <w:szCs w:val="24"/>
                <w:lang w:eastAsia="en-US"/>
              </w:rPr>
              <w:t xml:space="preserve"> Bates, and </w:t>
            </w:r>
            <w:proofErr w:type="spellStart"/>
            <w:r w:rsidRPr="00622A32">
              <w:rPr>
                <w:rFonts w:ascii="Garamond" w:hAnsi="Garamond"/>
                <w:b w:val="0"/>
                <w:bCs w:val="0"/>
                <w:sz w:val="24"/>
                <w:szCs w:val="24"/>
                <w:lang w:eastAsia="en-US"/>
              </w:rPr>
              <w:t>Carla</w:t>
            </w:r>
            <w:proofErr w:type="spellEnd"/>
            <w:r w:rsidRPr="00622A32">
              <w:rPr>
                <w:rFonts w:ascii="Garamond" w:hAnsi="Garamond"/>
                <w:b w:val="0"/>
                <w:bCs w:val="0"/>
                <w:sz w:val="24"/>
                <w:szCs w:val="24"/>
                <w:lang w:eastAsia="en-US"/>
              </w:rPr>
              <w:t xml:space="preserve"> </w:t>
            </w:r>
            <w:proofErr w:type="spellStart"/>
            <w:r w:rsidRPr="00622A32">
              <w:rPr>
                <w:rFonts w:ascii="Garamond" w:hAnsi="Garamond"/>
                <w:b w:val="0"/>
                <w:bCs w:val="0"/>
                <w:sz w:val="24"/>
                <w:szCs w:val="24"/>
                <w:lang w:eastAsia="en-US"/>
              </w:rPr>
              <w:t>Buckley</w:t>
            </w:r>
            <w:proofErr w:type="spellEnd"/>
            <w:r w:rsidR="00DB5728">
              <w:rPr>
                <w:rFonts w:ascii="Garamond" w:hAnsi="Garamond"/>
                <w:b w:val="0"/>
                <w:bCs w:val="0"/>
                <w:sz w:val="24"/>
                <w:szCs w:val="24"/>
                <w:lang w:eastAsia="en-US"/>
              </w:rPr>
              <w:t>:</w:t>
            </w:r>
            <w:r w:rsidR="00FB4D21" w:rsidRPr="00622A32">
              <w:rPr>
                <w:rFonts w:ascii="Garamond" w:hAnsi="Garamond"/>
                <w:b w:val="0"/>
                <w:bCs w:val="0"/>
                <w:sz w:val="24"/>
                <w:szCs w:val="24"/>
                <w:lang w:eastAsia="en-US"/>
              </w:rPr>
              <w:t xml:space="preserve"> </w:t>
            </w:r>
            <w:r w:rsidRPr="00622A32">
              <w:rPr>
                <w:rFonts w:ascii="Garamond" w:hAnsi="Garamond"/>
                <w:b w:val="0"/>
                <w:bCs w:val="0"/>
                <w:sz w:val="24"/>
                <w:szCs w:val="24"/>
                <w:lang w:eastAsia="en-US"/>
              </w:rPr>
              <w:t xml:space="preserve">Law of </w:t>
            </w:r>
            <w:proofErr w:type="spellStart"/>
            <w:r w:rsidRPr="00622A32">
              <w:rPr>
                <w:rFonts w:ascii="Garamond" w:hAnsi="Garamond"/>
                <w:b w:val="0"/>
                <w:bCs w:val="0"/>
                <w:sz w:val="24"/>
                <w:szCs w:val="24"/>
                <w:lang w:eastAsia="en-US"/>
              </w:rPr>
              <w:t>the</w:t>
            </w:r>
            <w:proofErr w:type="spellEnd"/>
            <w:r w:rsidRPr="00622A32">
              <w:rPr>
                <w:rFonts w:ascii="Garamond" w:hAnsi="Garamond"/>
                <w:b w:val="0"/>
                <w:bCs w:val="0"/>
                <w:sz w:val="24"/>
                <w:szCs w:val="24"/>
                <w:lang w:eastAsia="en-US"/>
              </w:rPr>
              <w:t xml:space="preserve"> European </w:t>
            </w:r>
            <w:proofErr w:type="spellStart"/>
            <w:r w:rsidRPr="00622A32">
              <w:rPr>
                <w:rFonts w:ascii="Garamond" w:hAnsi="Garamond"/>
                <w:b w:val="0"/>
                <w:bCs w:val="0"/>
                <w:sz w:val="24"/>
                <w:szCs w:val="24"/>
                <w:lang w:eastAsia="en-US"/>
              </w:rPr>
              <w:t>Convention</w:t>
            </w:r>
            <w:proofErr w:type="spellEnd"/>
            <w:r w:rsidRPr="00622A32">
              <w:rPr>
                <w:rFonts w:ascii="Garamond" w:hAnsi="Garamond"/>
                <w:b w:val="0"/>
                <w:bCs w:val="0"/>
                <w:sz w:val="24"/>
                <w:szCs w:val="24"/>
                <w:lang w:eastAsia="en-US"/>
              </w:rPr>
              <w:t xml:space="preserve"> </w:t>
            </w:r>
            <w:proofErr w:type="spellStart"/>
            <w:r w:rsidRPr="00622A32">
              <w:rPr>
                <w:rFonts w:ascii="Garamond" w:hAnsi="Garamond"/>
                <w:b w:val="0"/>
                <w:bCs w:val="0"/>
                <w:sz w:val="24"/>
                <w:szCs w:val="24"/>
                <w:lang w:eastAsia="en-US"/>
              </w:rPr>
              <w:t>on</w:t>
            </w:r>
            <w:proofErr w:type="spellEnd"/>
            <w:r w:rsidRPr="00622A32">
              <w:rPr>
                <w:rFonts w:ascii="Garamond" w:hAnsi="Garamond"/>
                <w:b w:val="0"/>
                <w:bCs w:val="0"/>
                <w:sz w:val="24"/>
                <w:szCs w:val="24"/>
                <w:lang w:eastAsia="en-US"/>
              </w:rPr>
              <w:t xml:space="preserve"> Human </w:t>
            </w:r>
            <w:proofErr w:type="spellStart"/>
            <w:r w:rsidRPr="00622A32">
              <w:rPr>
                <w:rFonts w:ascii="Garamond" w:hAnsi="Garamond"/>
                <w:b w:val="0"/>
                <w:bCs w:val="0"/>
                <w:sz w:val="24"/>
                <w:szCs w:val="24"/>
                <w:lang w:eastAsia="en-US"/>
              </w:rPr>
              <w:t>Rights</w:t>
            </w:r>
            <w:proofErr w:type="spellEnd"/>
            <w:r w:rsidRPr="00622A32">
              <w:rPr>
                <w:rFonts w:ascii="Garamond" w:hAnsi="Garamond"/>
                <w:b w:val="0"/>
                <w:bCs w:val="0"/>
                <w:sz w:val="24"/>
                <w:szCs w:val="24"/>
                <w:lang w:eastAsia="en-US"/>
              </w:rPr>
              <w:t>, OUP</w:t>
            </w:r>
            <w:r w:rsidR="00DB5728">
              <w:rPr>
                <w:rFonts w:ascii="Garamond" w:hAnsi="Garamond"/>
                <w:b w:val="0"/>
                <w:bCs w:val="0"/>
                <w:sz w:val="24"/>
                <w:szCs w:val="24"/>
                <w:lang w:eastAsia="en-US"/>
              </w:rPr>
              <w:t>, 2018</w:t>
            </w:r>
            <w:r w:rsidR="00FB4D21" w:rsidRPr="00622A32">
              <w:rPr>
                <w:rFonts w:ascii="Garamond" w:hAnsi="Garamond"/>
                <w:b w:val="0"/>
                <w:bCs w:val="0"/>
                <w:sz w:val="24"/>
                <w:szCs w:val="24"/>
                <w:lang w:eastAsia="en-US"/>
              </w:rPr>
              <w:t>.</w:t>
            </w:r>
          </w:p>
          <w:p w14:paraId="7BFD4808" w14:textId="63965B05" w:rsidR="0013715B" w:rsidRPr="00622A32" w:rsidRDefault="001078D9" w:rsidP="0013715B">
            <w:pPr>
              <w:pStyle w:val="Cmsor3"/>
              <w:shd w:val="clear" w:color="auto" w:fill="FFFFFF"/>
              <w:spacing w:before="0" w:beforeAutospacing="0" w:after="0" w:afterAutospacing="0"/>
              <w:outlineLvl w:val="2"/>
              <w:rPr>
                <w:rFonts w:ascii="Garamond" w:hAnsi="Garamond"/>
                <w:b w:val="0"/>
                <w:bCs w:val="0"/>
                <w:sz w:val="24"/>
                <w:szCs w:val="24"/>
                <w:lang w:eastAsia="en-US"/>
              </w:rPr>
            </w:pPr>
            <w:proofErr w:type="spellStart"/>
            <w:r w:rsidRPr="00622A32">
              <w:rPr>
                <w:rFonts w:ascii="Garamond" w:eastAsia="MS Mincho" w:hAnsi="Garamond"/>
                <w:b w:val="0"/>
                <w:bCs w:val="0"/>
                <w:sz w:val="24"/>
                <w:szCs w:val="24"/>
                <w:lang w:eastAsia="en-US"/>
              </w:rPr>
              <w:t>Handbook</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on</w:t>
            </w:r>
            <w:proofErr w:type="spellEnd"/>
            <w:r w:rsidRPr="00622A32">
              <w:rPr>
                <w:rFonts w:ascii="Garamond" w:eastAsia="MS Mincho" w:hAnsi="Garamond"/>
                <w:b w:val="0"/>
                <w:bCs w:val="0"/>
                <w:sz w:val="24"/>
                <w:szCs w:val="24"/>
                <w:lang w:eastAsia="en-US"/>
              </w:rPr>
              <w:t xml:space="preserve"> European </w:t>
            </w:r>
            <w:proofErr w:type="spellStart"/>
            <w:r w:rsidRPr="00622A32">
              <w:rPr>
                <w:rFonts w:ascii="Garamond" w:eastAsia="MS Mincho" w:hAnsi="Garamond"/>
                <w:b w:val="0"/>
                <w:bCs w:val="0"/>
                <w:sz w:val="24"/>
                <w:szCs w:val="24"/>
                <w:lang w:eastAsia="en-US"/>
              </w:rPr>
              <w:t>law</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relating</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to</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access</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to</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justice</w:t>
            </w:r>
            <w:proofErr w:type="spellEnd"/>
            <w:r w:rsidRPr="00622A32">
              <w:rPr>
                <w:rFonts w:ascii="Garamond" w:eastAsia="MS Mincho" w:hAnsi="Garamond"/>
                <w:b w:val="0"/>
                <w:bCs w:val="0"/>
                <w:sz w:val="24"/>
                <w:szCs w:val="24"/>
                <w:lang w:eastAsia="en-US"/>
              </w:rPr>
              <w:t>. FRA, 201</w:t>
            </w:r>
            <w:r w:rsidR="00C0165F" w:rsidRPr="00622A32">
              <w:rPr>
                <w:rFonts w:ascii="Garamond" w:eastAsia="MS Mincho" w:hAnsi="Garamond"/>
                <w:b w:val="0"/>
                <w:bCs w:val="0"/>
                <w:sz w:val="24"/>
                <w:szCs w:val="24"/>
                <w:lang w:eastAsia="en-US"/>
              </w:rPr>
              <w:t xml:space="preserve">6. </w:t>
            </w:r>
            <w:hyperlink r:id="rId8" w:history="1">
              <w:r w:rsidR="00C0165F" w:rsidRPr="00622A32">
                <w:rPr>
                  <w:rFonts w:ascii="Garamond" w:hAnsi="Garamond"/>
                  <w:b w:val="0"/>
                  <w:bCs w:val="0"/>
                  <w:sz w:val="24"/>
                  <w:szCs w:val="24"/>
                  <w:lang w:eastAsia="en-US"/>
                </w:rPr>
                <w:t>https://fra.europa.eu/en/publication/2016/handbook-european-law-relating-access-justice</w:t>
              </w:r>
            </w:hyperlink>
          </w:p>
          <w:p w14:paraId="4DD3E6E4" w14:textId="35991D03" w:rsidR="008E77A2" w:rsidRPr="00622A32" w:rsidRDefault="0013715B" w:rsidP="0013715B">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proofErr w:type="spellStart"/>
            <w:r w:rsidRPr="00622A32">
              <w:rPr>
                <w:rFonts w:ascii="Garamond" w:hAnsi="Garamond"/>
                <w:b w:val="0"/>
                <w:bCs w:val="0"/>
                <w:color w:val="001A1A"/>
                <w:sz w:val="24"/>
                <w:szCs w:val="24"/>
              </w:rPr>
              <w:t>A</w:t>
            </w:r>
            <w:r w:rsidR="008E77A2" w:rsidRPr="00622A32">
              <w:rPr>
                <w:rFonts w:ascii="Garamond" w:hAnsi="Garamond" w:cs="MyriadPro-LightCond"/>
                <w:b w:val="0"/>
                <w:bCs w:val="0"/>
                <w:color w:val="001A1A"/>
                <w:sz w:val="24"/>
                <w:szCs w:val="24"/>
              </w:rPr>
              <w:t>rman</w:t>
            </w:r>
            <w:proofErr w:type="spellEnd"/>
            <w:r w:rsidR="008E77A2" w:rsidRPr="00622A32">
              <w:rPr>
                <w:rFonts w:ascii="Garamond" w:hAnsi="Garamond" w:cs="MyriadPro-LightCond"/>
                <w:b w:val="0"/>
                <w:bCs w:val="0"/>
                <w:color w:val="001A1A"/>
                <w:sz w:val="24"/>
                <w:szCs w:val="24"/>
              </w:rPr>
              <w:t xml:space="preserve"> </w:t>
            </w:r>
            <w:proofErr w:type="spellStart"/>
            <w:r w:rsidR="008E77A2" w:rsidRPr="00622A32">
              <w:rPr>
                <w:rFonts w:ascii="Garamond" w:hAnsi="Garamond" w:cs="MyriadPro-LightCond"/>
                <w:b w:val="0"/>
                <w:bCs w:val="0"/>
                <w:color w:val="001A1A"/>
                <w:sz w:val="24"/>
                <w:szCs w:val="24"/>
              </w:rPr>
              <w:t>Zrvandyan</w:t>
            </w:r>
            <w:proofErr w:type="spellEnd"/>
            <w:r w:rsidR="00DB5728">
              <w:rPr>
                <w:rFonts w:ascii="Garamond" w:hAnsi="Garamond" w:cs="MyriadPro-LightCond"/>
                <w:b w:val="0"/>
                <w:bCs w:val="0"/>
                <w:color w:val="001A1A"/>
                <w:sz w:val="24"/>
                <w:szCs w:val="24"/>
              </w:rPr>
              <w:t>:</w:t>
            </w:r>
            <w:r w:rsidR="008E77A2" w:rsidRPr="00622A32">
              <w:rPr>
                <w:rFonts w:ascii="Garamond" w:hAnsi="Garamond" w:cs="MyriadPro-Cond"/>
                <w:b w:val="0"/>
                <w:bCs w:val="0"/>
                <w:color w:val="001A1A"/>
                <w:sz w:val="24"/>
                <w:szCs w:val="24"/>
              </w:rPr>
              <w:t xml:space="preserve"> </w:t>
            </w:r>
            <w:proofErr w:type="spellStart"/>
            <w:r w:rsidR="008E77A2" w:rsidRPr="00622A32">
              <w:rPr>
                <w:rFonts w:ascii="Garamond" w:hAnsi="Garamond" w:cs="MyriadPro-Cond"/>
                <w:b w:val="0"/>
                <w:bCs w:val="0"/>
                <w:color w:val="001A1A"/>
                <w:sz w:val="24"/>
                <w:szCs w:val="24"/>
              </w:rPr>
              <w:t>Casebook</w:t>
            </w:r>
            <w:proofErr w:type="spellEnd"/>
            <w:r w:rsidR="008E77A2" w:rsidRPr="00622A32">
              <w:rPr>
                <w:rFonts w:ascii="Garamond" w:hAnsi="Garamond" w:cs="MyriadPro-Cond"/>
                <w:b w:val="0"/>
                <w:bCs w:val="0"/>
                <w:color w:val="001A1A"/>
                <w:sz w:val="24"/>
                <w:szCs w:val="24"/>
              </w:rPr>
              <w:t xml:space="preserve"> </w:t>
            </w:r>
            <w:proofErr w:type="spellStart"/>
            <w:r w:rsidR="008E77A2" w:rsidRPr="00622A32">
              <w:rPr>
                <w:rFonts w:ascii="Garamond" w:hAnsi="Garamond" w:cs="MyriadPro-Cond"/>
                <w:b w:val="0"/>
                <w:bCs w:val="0"/>
                <w:color w:val="001A1A"/>
                <w:sz w:val="24"/>
                <w:szCs w:val="24"/>
              </w:rPr>
              <w:t>on</w:t>
            </w:r>
            <w:proofErr w:type="spellEnd"/>
            <w:r w:rsidR="008E77A2" w:rsidRPr="00622A32">
              <w:rPr>
                <w:rFonts w:ascii="Garamond" w:hAnsi="Garamond" w:cs="MyriadPro-Cond"/>
                <w:b w:val="0"/>
                <w:bCs w:val="0"/>
                <w:color w:val="001A1A"/>
                <w:sz w:val="24"/>
                <w:szCs w:val="24"/>
              </w:rPr>
              <w:t xml:space="preserve"> European fair </w:t>
            </w:r>
            <w:proofErr w:type="spellStart"/>
            <w:r w:rsidR="008E77A2" w:rsidRPr="00622A32">
              <w:rPr>
                <w:rFonts w:ascii="Garamond" w:hAnsi="Garamond" w:cs="MyriadPro-Cond"/>
                <w:b w:val="0"/>
                <w:bCs w:val="0"/>
                <w:color w:val="001A1A"/>
                <w:sz w:val="24"/>
                <w:szCs w:val="24"/>
              </w:rPr>
              <w:t>trial</w:t>
            </w:r>
            <w:proofErr w:type="spellEnd"/>
            <w:r w:rsidR="008E77A2" w:rsidRPr="00622A32">
              <w:rPr>
                <w:rFonts w:ascii="Garamond" w:hAnsi="Garamond" w:cs="MyriadPro-Cond"/>
                <w:b w:val="0"/>
                <w:bCs w:val="0"/>
                <w:color w:val="001A1A"/>
                <w:sz w:val="24"/>
                <w:szCs w:val="24"/>
              </w:rPr>
              <w:t xml:space="preserve"> </w:t>
            </w:r>
            <w:proofErr w:type="spellStart"/>
            <w:r w:rsidR="008E77A2" w:rsidRPr="00622A32">
              <w:rPr>
                <w:rFonts w:ascii="Garamond" w:hAnsi="Garamond" w:cs="MyriadPro-Cond"/>
                <w:b w:val="0"/>
                <w:bCs w:val="0"/>
                <w:color w:val="001A1A"/>
                <w:sz w:val="24"/>
                <w:szCs w:val="24"/>
              </w:rPr>
              <w:t>standards</w:t>
            </w:r>
            <w:proofErr w:type="spellEnd"/>
            <w:r w:rsidR="008E77A2" w:rsidRPr="00622A32">
              <w:rPr>
                <w:rFonts w:ascii="Garamond" w:hAnsi="Garamond" w:cs="MyriadPro-Cond"/>
                <w:b w:val="0"/>
                <w:bCs w:val="0"/>
                <w:color w:val="001A1A"/>
                <w:sz w:val="24"/>
                <w:szCs w:val="24"/>
              </w:rPr>
              <w:t xml:space="preserve"> in </w:t>
            </w:r>
            <w:proofErr w:type="spellStart"/>
            <w:r w:rsidR="008E77A2" w:rsidRPr="00622A32">
              <w:rPr>
                <w:rFonts w:ascii="Garamond" w:hAnsi="Garamond" w:cs="MyriadPro-Cond"/>
                <w:b w:val="0"/>
                <w:bCs w:val="0"/>
                <w:color w:val="001A1A"/>
                <w:sz w:val="24"/>
                <w:szCs w:val="24"/>
              </w:rPr>
              <w:t>administrative</w:t>
            </w:r>
            <w:proofErr w:type="spellEnd"/>
            <w:r w:rsidR="008E77A2" w:rsidRPr="00622A32">
              <w:rPr>
                <w:rFonts w:ascii="Garamond" w:hAnsi="Garamond" w:cs="MyriadPro-Cond"/>
                <w:b w:val="0"/>
                <w:bCs w:val="0"/>
                <w:color w:val="001A1A"/>
                <w:sz w:val="24"/>
                <w:szCs w:val="24"/>
              </w:rPr>
              <w:t xml:space="preserve"> </w:t>
            </w:r>
            <w:proofErr w:type="spellStart"/>
            <w:r w:rsidR="008E77A2" w:rsidRPr="00622A32">
              <w:rPr>
                <w:rFonts w:ascii="Garamond" w:hAnsi="Garamond" w:cs="MyriadPro-Cond"/>
                <w:b w:val="0"/>
                <w:bCs w:val="0"/>
                <w:color w:val="001A1A"/>
                <w:sz w:val="24"/>
                <w:szCs w:val="24"/>
              </w:rPr>
              <w:t>justice</w:t>
            </w:r>
            <w:proofErr w:type="spellEnd"/>
            <w:r w:rsidR="008E77A2" w:rsidRPr="00622A32">
              <w:rPr>
                <w:rFonts w:ascii="Garamond" w:hAnsi="Garamond" w:cs="MyriadPro-Cond"/>
                <w:b w:val="0"/>
                <w:bCs w:val="0"/>
                <w:color w:val="001A1A"/>
                <w:sz w:val="24"/>
                <w:szCs w:val="24"/>
              </w:rPr>
              <w:t xml:space="preserve">. </w:t>
            </w:r>
            <w:proofErr w:type="spellStart"/>
            <w:r w:rsidR="00DB5728">
              <w:rPr>
                <w:rFonts w:ascii="Garamond" w:hAnsi="Garamond" w:cs="MyriadPro-Cond"/>
                <w:b w:val="0"/>
                <w:bCs w:val="0"/>
                <w:color w:val="001A1A"/>
                <w:sz w:val="24"/>
                <w:szCs w:val="24"/>
              </w:rPr>
              <w:t>CoE</w:t>
            </w:r>
            <w:proofErr w:type="spellEnd"/>
            <w:r w:rsidR="00DB5728">
              <w:rPr>
                <w:rFonts w:ascii="Garamond" w:hAnsi="Garamond" w:cs="MyriadPro-Cond"/>
                <w:b w:val="0"/>
                <w:bCs w:val="0"/>
                <w:color w:val="001A1A"/>
                <w:sz w:val="24"/>
                <w:szCs w:val="24"/>
              </w:rPr>
              <w:t>, 2015.</w:t>
            </w:r>
          </w:p>
          <w:p w14:paraId="686D97D7" w14:textId="77777777" w:rsidR="00C0165F" w:rsidRPr="00622A32" w:rsidRDefault="00000000" w:rsidP="0013715B">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hyperlink r:id="rId9" w:tooltip="Posts by Rennert, Klaus" w:history="1">
              <w:r w:rsidR="001078D9" w:rsidRPr="00622A32">
                <w:rPr>
                  <w:rFonts w:ascii="Garamond" w:eastAsia="MS Mincho" w:hAnsi="Garamond"/>
                  <w:b w:val="0"/>
                  <w:bCs w:val="0"/>
                  <w:sz w:val="24"/>
                  <w:szCs w:val="24"/>
                  <w:lang w:eastAsia="en-US"/>
                </w:rPr>
                <w:t>Rennert, Klaus</w:t>
              </w:r>
            </w:hyperlink>
            <w:r w:rsidR="001078D9" w:rsidRPr="00622A32">
              <w:rPr>
                <w:rFonts w:ascii="Garamond" w:eastAsia="MS Mincho" w:hAnsi="Garamond"/>
                <w:b w:val="0"/>
                <w:bCs w:val="0"/>
                <w:sz w:val="24"/>
                <w:szCs w:val="24"/>
                <w:lang w:eastAsia="en-US"/>
              </w:rPr>
              <w:t xml:space="preserve">: </w:t>
            </w:r>
            <w:proofErr w:type="spellStart"/>
            <w:r w:rsidR="001078D9" w:rsidRPr="00622A32">
              <w:rPr>
                <w:rFonts w:ascii="Garamond" w:eastAsia="MS Mincho" w:hAnsi="Garamond"/>
                <w:b w:val="0"/>
                <w:bCs w:val="0"/>
                <w:sz w:val="24"/>
                <w:szCs w:val="24"/>
                <w:lang w:eastAsia="en-US"/>
              </w:rPr>
              <w:t>Administration</w:t>
            </w:r>
            <w:proofErr w:type="spellEnd"/>
            <w:r w:rsidR="001078D9" w:rsidRPr="00622A32">
              <w:rPr>
                <w:rFonts w:ascii="Garamond" w:eastAsia="MS Mincho" w:hAnsi="Garamond"/>
                <w:b w:val="0"/>
                <w:bCs w:val="0"/>
                <w:sz w:val="24"/>
                <w:szCs w:val="24"/>
                <w:lang w:eastAsia="en-US"/>
              </w:rPr>
              <w:t xml:space="preserve">, </w:t>
            </w:r>
            <w:proofErr w:type="spellStart"/>
            <w:r w:rsidR="001078D9" w:rsidRPr="00622A32">
              <w:rPr>
                <w:rFonts w:ascii="Garamond" w:eastAsia="MS Mincho" w:hAnsi="Garamond"/>
                <w:b w:val="0"/>
                <w:bCs w:val="0"/>
                <w:sz w:val="24"/>
                <w:szCs w:val="24"/>
                <w:lang w:eastAsia="en-US"/>
              </w:rPr>
              <w:t>Administrative</w:t>
            </w:r>
            <w:proofErr w:type="spellEnd"/>
            <w:r w:rsidR="001078D9" w:rsidRPr="00622A32">
              <w:rPr>
                <w:rFonts w:ascii="Garamond" w:eastAsia="MS Mincho" w:hAnsi="Garamond"/>
                <w:b w:val="0"/>
                <w:bCs w:val="0"/>
                <w:sz w:val="24"/>
                <w:szCs w:val="24"/>
                <w:lang w:eastAsia="en-US"/>
              </w:rPr>
              <w:t xml:space="preserve"> </w:t>
            </w:r>
            <w:proofErr w:type="spellStart"/>
            <w:r w:rsidR="001078D9" w:rsidRPr="00622A32">
              <w:rPr>
                <w:rFonts w:ascii="Garamond" w:eastAsia="MS Mincho" w:hAnsi="Garamond"/>
                <w:b w:val="0"/>
                <w:bCs w:val="0"/>
                <w:sz w:val="24"/>
                <w:szCs w:val="24"/>
                <w:lang w:eastAsia="en-US"/>
              </w:rPr>
              <w:t>Jurisdiction</w:t>
            </w:r>
            <w:proofErr w:type="spellEnd"/>
            <w:r w:rsidR="001078D9" w:rsidRPr="00622A32">
              <w:rPr>
                <w:rFonts w:ascii="Garamond" w:eastAsia="MS Mincho" w:hAnsi="Garamond"/>
                <w:b w:val="0"/>
                <w:bCs w:val="0"/>
                <w:sz w:val="24"/>
                <w:szCs w:val="24"/>
                <w:lang w:eastAsia="en-US"/>
              </w:rPr>
              <w:t xml:space="preserve"> and </w:t>
            </w:r>
            <w:proofErr w:type="spellStart"/>
            <w:r w:rsidR="001078D9" w:rsidRPr="00622A32">
              <w:rPr>
                <w:rFonts w:ascii="Garamond" w:eastAsia="MS Mincho" w:hAnsi="Garamond"/>
                <w:b w:val="0"/>
                <w:bCs w:val="0"/>
                <w:sz w:val="24"/>
                <w:szCs w:val="24"/>
                <w:lang w:eastAsia="en-US"/>
              </w:rPr>
              <w:t>Separation</w:t>
            </w:r>
            <w:proofErr w:type="spellEnd"/>
            <w:r w:rsidR="001078D9" w:rsidRPr="00622A32">
              <w:rPr>
                <w:rFonts w:ascii="Garamond" w:eastAsia="MS Mincho" w:hAnsi="Garamond"/>
                <w:b w:val="0"/>
                <w:bCs w:val="0"/>
                <w:sz w:val="24"/>
                <w:szCs w:val="24"/>
                <w:lang w:eastAsia="en-US"/>
              </w:rPr>
              <w:t xml:space="preserve"> of </w:t>
            </w:r>
            <w:proofErr w:type="spellStart"/>
            <w:r w:rsidR="001078D9" w:rsidRPr="00622A32">
              <w:rPr>
                <w:rFonts w:ascii="Garamond" w:eastAsia="MS Mincho" w:hAnsi="Garamond"/>
                <w:b w:val="0"/>
                <w:bCs w:val="0"/>
                <w:sz w:val="24"/>
                <w:szCs w:val="24"/>
                <w:lang w:eastAsia="en-US"/>
              </w:rPr>
              <w:t>Powers</w:t>
            </w:r>
            <w:proofErr w:type="spellEnd"/>
            <w:r w:rsidR="001078D9" w:rsidRPr="00622A32">
              <w:rPr>
                <w:rFonts w:ascii="Garamond" w:eastAsia="MS Mincho" w:hAnsi="Garamond"/>
                <w:b w:val="0"/>
                <w:bCs w:val="0"/>
                <w:sz w:val="24"/>
                <w:szCs w:val="24"/>
                <w:lang w:eastAsia="en-US"/>
              </w:rPr>
              <w:t xml:space="preserve">. </w:t>
            </w:r>
            <w:proofErr w:type="spellStart"/>
            <w:r w:rsidR="001078D9" w:rsidRPr="00622A32">
              <w:rPr>
                <w:rFonts w:ascii="Garamond" w:eastAsia="MS Mincho" w:hAnsi="Garamond"/>
                <w:b w:val="0"/>
                <w:bCs w:val="0"/>
                <w:sz w:val="24"/>
                <w:szCs w:val="24"/>
                <w:lang w:eastAsia="en-US"/>
              </w:rPr>
              <w:t>E</w:t>
            </w:r>
            <w:hyperlink r:id="rId10" w:history="1">
              <w:r w:rsidR="001078D9" w:rsidRPr="00622A32">
                <w:rPr>
                  <w:rFonts w:ascii="Garamond" w:hAnsi="Garamond"/>
                  <w:b w:val="0"/>
                  <w:bCs w:val="0"/>
                  <w:sz w:val="24"/>
                  <w:szCs w:val="24"/>
                  <w:lang w:eastAsia="en-US"/>
                </w:rPr>
                <w:t>lte</w:t>
              </w:r>
              <w:proofErr w:type="spellEnd"/>
              <w:r w:rsidR="001078D9" w:rsidRPr="00622A32">
                <w:rPr>
                  <w:rFonts w:ascii="Garamond" w:eastAsia="MS Mincho" w:hAnsi="Garamond"/>
                  <w:b w:val="0"/>
                  <w:bCs w:val="0"/>
                  <w:sz w:val="24"/>
                  <w:szCs w:val="24"/>
                  <w:lang w:eastAsia="en-US"/>
                </w:rPr>
                <w:t xml:space="preserve"> L</w:t>
              </w:r>
              <w:r w:rsidR="001078D9" w:rsidRPr="00622A32">
                <w:rPr>
                  <w:rFonts w:ascii="Garamond" w:hAnsi="Garamond"/>
                  <w:b w:val="0"/>
                  <w:bCs w:val="0"/>
                  <w:sz w:val="24"/>
                  <w:szCs w:val="24"/>
                  <w:lang w:eastAsia="en-US"/>
                </w:rPr>
                <w:t>aw</w:t>
              </w:r>
              <w:r w:rsidR="001078D9" w:rsidRPr="00622A32">
                <w:rPr>
                  <w:rFonts w:ascii="Garamond" w:eastAsia="MS Mincho" w:hAnsi="Garamond"/>
                  <w:b w:val="0"/>
                  <w:bCs w:val="0"/>
                  <w:sz w:val="24"/>
                  <w:szCs w:val="24"/>
                  <w:lang w:eastAsia="en-US"/>
                </w:rPr>
                <w:t xml:space="preserve"> J</w:t>
              </w:r>
              <w:r w:rsidR="001078D9" w:rsidRPr="00622A32">
                <w:rPr>
                  <w:rFonts w:ascii="Garamond" w:hAnsi="Garamond"/>
                  <w:b w:val="0"/>
                  <w:bCs w:val="0"/>
                  <w:sz w:val="24"/>
                  <w:szCs w:val="24"/>
                  <w:lang w:eastAsia="en-US"/>
                </w:rPr>
                <w:t>ournal</w:t>
              </w:r>
              <w:r w:rsidR="001078D9" w:rsidRPr="00622A32">
                <w:rPr>
                  <w:rFonts w:ascii="Garamond" w:eastAsia="MS Mincho" w:hAnsi="Garamond"/>
                  <w:b w:val="0"/>
                  <w:bCs w:val="0"/>
                  <w:sz w:val="24"/>
                  <w:szCs w:val="24"/>
                  <w:lang w:eastAsia="en-US"/>
                </w:rPr>
                <w:t xml:space="preserve"> </w:t>
              </w:r>
              <w:r w:rsidR="001078D9" w:rsidRPr="00622A32">
                <w:rPr>
                  <w:rFonts w:ascii="Garamond" w:hAnsi="Garamond"/>
                  <w:b w:val="0"/>
                  <w:bCs w:val="0"/>
                  <w:sz w:val="24"/>
                  <w:szCs w:val="24"/>
                  <w:lang w:eastAsia="en-US"/>
                </w:rPr>
                <w:t>2018</w:t>
              </w:r>
              <w:r w:rsidR="001078D9" w:rsidRPr="00622A32">
                <w:rPr>
                  <w:rFonts w:ascii="Garamond" w:eastAsia="MS Mincho" w:hAnsi="Garamond"/>
                  <w:b w:val="0"/>
                  <w:bCs w:val="0"/>
                  <w:sz w:val="24"/>
                  <w:szCs w:val="24"/>
                  <w:lang w:eastAsia="en-US"/>
                </w:rPr>
                <w:t>/1</w:t>
              </w:r>
            </w:hyperlink>
            <w:r w:rsidR="001078D9" w:rsidRPr="00622A32">
              <w:rPr>
                <w:rFonts w:ascii="Garamond" w:eastAsia="MS Mincho" w:hAnsi="Garamond"/>
                <w:b w:val="0"/>
                <w:bCs w:val="0"/>
                <w:sz w:val="24"/>
                <w:szCs w:val="24"/>
                <w:lang w:eastAsia="en-US"/>
              </w:rPr>
              <w:t xml:space="preserve">. </w:t>
            </w:r>
          </w:p>
          <w:p w14:paraId="26F04D43" w14:textId="504C6FDF" w:rsidR="001078D9" w:rsidRPr="00622A32" w:rsidRDefault="001078D9" w:rsidP="0013715B">
            <w:pPr>
              <w:pStyle w:val="Cmsor3"/>
              <w:pBdr>
                <w:bottom w:val="single" w:sz="6" w:space="9" w:color="D3D3D3"/>
              </w:pBdr>
              <w:shd w:val="clear" w:color="auto" w:fill="FFFFFF"/>
              <w:spacing w:before="0" w:beforeAutospacing="0" w:after="0" w:afterAutospacing="0" w:line="312" w:lineRule="atLeast"/>
              <w:jc w:val="both"/>
              <w:textAlignment w:val="baseline"/>
              <w:outlineLvl w:val="2"/>
              <w:rPr>
                <w:rFonts w:ascii="Garamond" w:eastAsia="MS Mincho" w:hAnsi="Garamond"/>
                <w:b w:val="0"/>
                <w:bCs w:val="0"/>
                <w:sz w:val="24"/>
                <w:szCs w:val="24"/>
                <w:lang w:eastAsia="en-US"/>
              </w:rPr>
            </w:pPr>
            <w:proofErr w:type="spellStart"/>
            <w:r w:rsidRPr="00622A32">
              <w:rPr>
                <w:rFonts w:ascii="Garamond" w:eastAsia="MS Mincho" w:hAnsi="Garamond"/>
                <w:b w:val="0"/>
                <w:bCs w:val="0"/>
                <w:sz w:val="24"/>
                <w:szCs w:val="24"/>
                <w:lang w:eastAsia="en-US"/>
              </w:rPr>
              <w:lastRenderedPageBreak/>
              <w:t>Dovydas</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Vitkauskas</w:t>
            </w:r>
            <w:proofErr w:type="spellEnd"/>
            <w:r w:rsidRPr="00622A32">
              <w:rPr>
                <w:rFonts w:ascii="Garamond" w:eastAsia="MS Mincho" w:hAnsi="Garamond"/>
                <w:b w:val="0"/>
                <w:bCs w:val="0"/>
                <w:sz w:val="24"/>
                <w:szCs w:val="24"/>
                <w:lang w:eastAsia="en-US"/>
              </w:rPr>
              <w:t xml:space="preserve"> – </w:t>
            </w:r>
            <w:proofErr w:type="spellStart"/>
            <w:r w:rsidRPr="00622A32">
              <w:rPr>
                <w:rFonts w:ascii="Garamond" w:eastAsia="MS Mincho" w:hAnsi="Garamond"/>
                <w:b w:val="0"/>
                <w:bCs w:val="0"/>
                <w:sz w:val="24"/>
                <w:szCs w:val="24"/>
                <w:lang w:eastAsia="en-US"/>
              </w:rPr>
              <w:t>Grigoriy</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Dikov</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Protecting</w:t>
            </w:r>
            <w:proofErr w:type="spellEnd"/>
            <w:r w:rsidRPr="00622A32">
              <w:rPr>
                <w:rFonts w:ascii="Garamond" w:eastAsia="MS Mincho" w:hAnsi="Garamond"/>
                <w:b w:val="0"/>
                <w:bCs w:val="0"/>
                <w:sz w:val="24"/>
                <w:szCs w:val="24"/>
                <w:lang w:eastAsia="en-US"/>
              </w:rPr>
              <w:t xml:space="preserve"> The </w:t>
            </w:r>
            <w:proofErr w:type="spellStart"/>
            <w:r w:rsidRPr="00622A32">
              <w:rPr>
                <w:rFonts w:ascii="Garamond" w:eastAsia="MS Mincho" w:hAnsi="Garamond"/>
                <w:b w:val="0"/>
                <w:bCs w:val="0"/>
                <w:sz w:val="24"/>
                <w:szCs w:val="24"/>
                <w:lang w:eastAsia="en-US"/>
              </w:rPr>
              <w:t>Right</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To</w:t>
            </w:r>
            <w:proofErr w:type="spellEnd"/>
            <w:r w:rsidRPr="00622A32">
              <w:rPr>
                <w:rFonts w:ascii="Garamond" w:eastAsia="MS Mincho" w:hAnsi="Garamond"/>
                <w:b w:val="0"/>
                <w:bCs w:val="0"/>
                <w:sz w:val="24"/>
                <w:szCs w:val="24"/>
                <w:lang w:eastAsia="en-US"/>
              </w:rPr>
              <w:t xml:space="preserve"> A Fair </w:t>
            </w:r>
            <w:proofErr w:type="spellStart"/>
            <w:r w:rsidRPr="00622A32">
              <w:rPr>
                <w:rFonts w:ascii="Garamond" w:eastAsia="MS Mincho" w:hAnsi="Garamond"/>
                <w:b w:val="0"/>
                <w:bCs w:val="0"/>
                <w:sz w:val="24"/>
                <w:szCs w:val="24"/>
                <w:lang w:eastAsia="en-US"/>
              </w:rPr>
              <w:t>Trial</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Under</w:t>
            </w:r>
            <w:proofErr w:type="spellEnd"/>
            <w:r w:rsidRPr="00622A32">
              <w:rPr>
                <w:rFonts w:ascii="Garamond" w:eastAsia="MS Mincho" w:hAnsi="Garamond"/>
                <w:b w:val="0"/>
                <w:bCs w:val="0"/>
                <w:sz w:val="24"/>
                <w:szCs w:val="24"/>
                <w:lang w:eastAsia="en-US"/>
              </w:rPr>
              <w:t xml:space="preserve"> The European </w:t>
            </w:r>
            <w:proofErr w:type="spellStart"/>
            <w:r w:rsidRPr="00622A32">
              <w:rPr>
                <w:rFonts w:ascii="Garamond" w:eastAsia="MS Mincho" w:hAnsi="Garamond"/>
                <w:b w:val="0"/>
                <w:bCs w:val="0"/>
                <w:sz w:val="24"/>
                <w:szCs w:val="24"/>
                <w:lang w:eastAsia="en-US"/>
              </w:rPr>
              <w:t>Convention</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On</w:t>
            </w:r>
            <w:proofErr w:type="spellEnd"/>
            <w:r w:rsidRPr="00622A32">
              <w:rPr>
                <w:rFonts w:ascii="Garamond" w:eastAsia="MS Mincho" w:hAnsi="Garamond"/>
                <w:b w:val="0"/>
                <w:bCs w:val="0"/>
                <w:sz w:val="24"/>
                <w:szCs w:val="24"/>
                <w:lang w:eastAsia="en-US"/>
              </w:rPr>
              <w:t xml:space="preserve"> Human </w:t>
            </w:r>
            <w:proofErr w:type="spellStart"/>
            <w:r w:rsidRPr="00622A32">
              <w:rPr>
                <w:rFonts w:ascii="Garamond" w:eastAsia="MS Mincho" w:hAnsi="Garamond"/>
                <w:b w:val="0"/>
                <w:bCs w:val="0"/>
                <w:sz w:val="24"/>
                <w:szCs w:val="24"/>
                <w:lang w:eastAsia="en-US"/>
              </w:rPr>
              <w:t>Rights</w:t>
            </w:r>
            <w:proofErr w:type="spellEnd"/>
            <w:r w:rsidRPr="00622A32">
              <w:rPr>
                <w:rFonts w:ascii="Garamond" w:eastAsia="MS Mincho" w:hAnsi="Garamond"/>
                <w:b w:val="0"/>
                <w:bCs w:val="0"/>
                <w:sz w:val="24"/>
                <w:szCs w:val="24"/>
                <w:lang w:eastAsia="en-US"/>
              </w:rPr>
              <w:t xml:space="preserve">. A </w:t>
            </w:r>
            <w:proofErr w:type="spellStart"/>
            <w:r w:rsidRPr="00622A32">
              <w:rPr>
                <w:rFonts w:ascii="Garamond" w:eastAsia="MS Mincho" w:hAnsi="Garamond"/>
                <w:b w:val="0"/>
                <w:bCs w:val="0"/>
                <w:sz w:val="24"/>
                <w:szCs w:val="24"/>
                <w:lang w:eastAsia="en-US"/>
              </w:rPr>
              <w:t>Handbook</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For</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Legal</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Practitioners</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Council</w:t>
            </w:r>
            <w:proofErr w:type="spellEnd"/>
            <w:r w:rsidRPr="00622A32">
              <w:rPr>
                <w:rFonts w:ascii="Garamond" w:eastAsia="MS Mincho" w:hAnsi="Garamond"/>
                <w:b w:val="0"/>
                <w:bCs w:val="0"/>
                <w:sz w:val="24"/>
                <w:szCs w:val="24"/>
                <w:lang w:eastAsia="en-US"/>
              </w:rPr>
              <w:t xml:space="preserve"> of Europe, 2nd </w:t>
            </w:r>
            <w:proofErr w:type="spellStart"/>
            <w:r w:rsidRPr="00622A32">
              <w:rPr>
                <w:rFonts w:ascii="Garamond" w:eastAsia="MS Mincho" w:hAnsi="Garamond"/>
                <w:b w:val="0"/>
                <w:bCs w:val="0"/>
                <w:sz w:val="24"/>
                <w:szCs w:val="24"/>
                <w:lang w:eastAsia="en-US"/>
              </w:rPr>
              <w:t>edition</w:t>
            </w:r>
            <w:proofErr w:type="spellEnd"/>
            <w:r w:rsidRPr="00622A32">
              <w:rPr>
                <w:rFonts w:ascii="Garamond" w:eastAsia="MS Mincho" w:hAnsi="Garamond"/>
                <w:b w:val="0"/>
                <w:bCs w:val="0"/>
                <w:sz w:val="24"/>
                <w:szCs w:val="24"/>
                <w:lang w:eastAsia="en-US"/>
              </w:rPr>
              <w:t>, 2017.</w:t>
            </w:r>
          </w:p>
          <w:p w14:paraId="1F6CAEC8" w14:textId="4E9343FB" w:rsidR="00622A32" w:rsidRPr="00622A32" w:rsidRDefault="00622A32" w:rsidP="00622A32">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622A32">
              <w:rPr>
                <w:rFonts w:ascii="Garamond" w:hAnsi="Garamond"/>
                <w:b w:val="0"/>
                <w:bCs w:val="0"/>
                <w:sz w:val="24"/>
                <w:szCs w:val="24"/>
                <w:lang w:val="en-GB"/>
              </w:rPr>
              <w:t xml:space="preserve">Philip M. Langbroek, Rachel I. Dijkstra, Kyana </w:t>
            </w:r>
            <w:proofErr w:type="spellStart"/>
            <w:r w:rsidRPr="00622A32">
              <w:rPr>
                <w:rFonts w:ascii="Garamond" w:hAnsi="Garamond"/>
                <w:b w:val="0"/>
                <w:bCs w:val="0"/>
                <w:sz w:val="24"/>
                <w:szCs w:val="24"/>
                <w:lang w:val="en-GB"/>
              </w:rPr>
              <w:t>Bozorg</w:t>
            </w:r>
            <w:proofErr w:type="spellEnd"/>
            <w:r w:rsidRPr="00622A32">
              <w:rPr>
                <w:rFonts w:ascii="Garamond" w:hAnsi="Garamond"/>
                <w:b w:val="0"/>
                <w:bCs w:val="0"/>
                <w:sz w:val="24"/>
                <w:szCs w:val="24"/>
                <w:lang w:val="en-GB"/>
              </w:rPr>
              <w:t xml:space="preserve"> Zadeh and </w:t>
            </w:r>
            <w:proofErr w:type="spellStart"/>
            <w:r w:rsidRPr="00622A32">
              <w:rPr>
                <w:rFonts w:ascii="Garamond" w:hAnsi="Garamond"/>
                <w:b w:val="0"/>
                <w:bCs w:val="0"/>
                <w:sz w:val="24"/>
                <w:szCs w:val="24"/>
                <w:lang w:val="en-GB"/>
              </w:rPr>
              <w:t>Zübeyir</w:t>
            </w:r>
            <w:proofErr w:type="spellEnd"/>
            <w:r w:rsidRPr="00622A32">
              <w:rPr>
                <w:rFonts w:ascii="Garamond" w:hAnsi="Garamond"/>
                <w:b w:val="0"/>
                <w:bCs w:val="0"/>
                <w:sz w:val="24"/>
                <w:szCs w:val="24"/>
                <w:lang w:val="en-GB"/>
              </w:rPr>
              <w:t xml:space="preserve"> </w:t>
            </w:r>
            <w:proofErr w:type="spellStart"/>
            <w:r w:rsidRPr="00622A32">
              <w:rPr>
                <w:rFonts w:ascii="Garamond" w:hAnsi="Garamond"/>
                <w:b w:val="0"/>
                <w:bCs w:val="0"/>
                <w:sz w:val="24"/>
                <w:szCs w:val="24"/>
                <w:lang w:val="en-GB"/>
              </w:rPr>
              <w:t>Türk</w:t>
            </w:r>
            <w:proofErr w:type="spellEnd"/>
            <w:r w:rsidRPr="00622A32">
              <w:rPr>
                <w:rFonts w:ascii="Garamond" w:hAnsi="Garamond"/>
                <w:b w:val="0"/>
                <w:bCs w:val="0"/>
                <w:sz w:val="24"/>
                <w:szCs w:val="24"/>
                <w:lang w:val="en-GB"/>
              </w:rPr>
              <w:t xml:space="preserve">, ‘Performance management of courts and judges: organizational and professional learning versus political accountabilities’ in Francesco </w:t>
            </w:r>
            <w:proofErr w:type="spellStart"/>
            <w:r w:rsidRPr="00622A32">
              <w:rPr>
                <w:rFonts w:ascii="Garamond" w:hAnsi="Garamond"/>
                <w:b w:val="0"/>
                <w:bCs w:val="0"/>
                <w:sz w:val="24"/>
                <w:szCs w:val="24"/>
                <w:lang w:val="en-GB"/>
              </w:rPr>
              <w:t>Contini</w:t>
            </w:r>
            <w:proofErr w:type="spellEnd"/>
            <w:r w:rsidRPr="00622A32">
              <w:rPr>
                <w:rFonts w:ascii="Garamond" w:hAnsi="Garamond"/>
                <w:b w:val="0"/>
                <w:bCs w:val="0"/>
                <w:sz w:val="24"/>
                <w:szCs w:val="24"/>
                <w:lang w:val="en-GB"/>
              </w:rPr>
              <w:t xml:space="preserve"> (ed.), </w:t>
            </w:r>
            <w:r w:rsidRPr="00622A32">
              <w:rPr>
                <w:rFonts w:ascii="Garamond" w:hAnsi="Garamond"/>
                <w:b w:val="0"/>
                <w:bCs w:val="0"/>
                <w:i/>
                <w:iCs/>
                <w:sz w:val="24"/>
                <w:szCs w:val="24"/>
                <w:lang w:val="en-GB"/>
              </w:rPr>
              <w:t>Handle with Care. Assessing and designing methods for evaluation and development of the quality of justice,</w:t>
            </w:r>
            <w:r w:rsidRPr="00622A32">
              <w:rPr>
                <w:rFonts w:ascii="Garamond" w:hAnsi="Garamond"/>
                <w:b w:val="0"/>
                <w:bCs w:val="0"/>
                <w:sz w:val="24"/>
                <w:szCs w:val="24"/>
                <w:lang w:val="en-GB"/>
              </w:rPr>
              <w:t xml:space="preserve"> Bologna: IRSIG-CNR, 2017</w:t>
            </w:r>
            <w:r w:rsidR="00DB5728">
              <w:rPr>
                <w:rFonts w:ascii="Garamond" w:hAnsi="Garamond"/>
                <w:b w:val="0"/>
                <w:bCs w:val="0"/>
                <w:sz w:val="24"/>
                <w:szCs w:val="24"/>
                <w:lang w:val="en-GB"/>
              </w:rPr>
              <w:t>.</w:t>
            </w:r>
          </w:p>
          <w:p w14:paraId="50E65399" w14:textId="2F21F0A2" w:rsidR="00622A32" w:rsidRPr="00622A32" w:rsidRDefault="00622A32" w:rsidP="00622A32">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622A32">
              <w:rPr>
                <w:rFonts w:ascii="Garamond" w:hAnsi="Garamond"/>
                <w:b w:val="0"/>
                <w:bCs w:val="0"/>
                <w:sz w:val="24"/>
                <w:szCs w:val="24"/>
                <w:lang w:val="en-GB"/>
              </w:rPr>
              <w:t xml:space="preserve">CEPEJ Report by M. </w:t>
            </w:r>
            <w:proofErr w:type="spellStart"/>
            <w:r w:rsidRPr="00622A32">
              <w:rPr>
                <w:rFonts w:ascii="Garamond" w:hAnsi="Garamond"/>
                <w:b w:val="0"/>
                <w:bCs w:val="0"/>
                <w:sz w:val="24"/>
                <w:szCs w:val="24"/>
                <w:lang w:val="en-GB"/>
              </w:rPr>
              <w:t>Fabri</w:t>
            </w:r>
            <w:proofErr w:type="spellEnd"/>
            <w:r w:rsidRPr="00622A32">
              <w:rPr>
                <w:rFonts w:ascii="Garamond" w:hAnsi="Garamond"/>
                <w:b w:val="0"/>
                <w:bCs w:val="0"/>
                <w:sz w:val="24"/>
                <w:szCs w:val="24"/>
                <w:lang w:val="en-GB"/>
              </w:rPr>
              <w:t xml:space="preserve">, P. Langbroek, Delay in Court Proceedings: A Preliminary Inquiry into the Relation Between the Demands of the Reasonable Time Requirements of Article 6, 1 ECHR and Their Consequences for Judges and Judicial Administration in the Civil Criminal and Administrative Justice Chain, Strasbourg 2003, </w:t>
            </w:r>
            <w:r w:rsidRPr="00622A32">
              <w:rPr>
                <w:rStyle w:val="Hiperhivatkozs"/>
                <w:rFonts w:ascii="Garamond" w:hAnsi="Garamond"/>
                <w:b w:val="0"/>
                <w:bCs w:val="0"/>
                <w:sz w:val="24"/>
                <w:szCs w:val="24"/>
                <w:lang w:val="en-GB"/>
              </w:rPr>
              <w:t>https://rm.coe.int</w:t>
            </w:r>
          </w:p>
          <w:p w14:paraId="4FACC643" w14:textId="214AE2AA" w:rsidR="00C0165F" w:rsidRPr="00622A32" w:rsidRDefault="00C0165F" w:rsidP="0013715B">
            <w:pPr>
              <w:pStyle w:val="Cmsor3"/>
              <w:pBdr>
                <w:bottom w:val="single" w:sz="6" w:space="9" w:color="D3D3D3"/>
              </w:pBdr>
              <w:shd w:val="clear" w:color="auto" w:fill="FFFFFF"/>
              <w:spacing w:before="0" w:beforeAutospacing="0" w:after="0" w:afterAutospacing="0" w:line="312" w:lineRule="atLeast"/>
              <w:jc w:val="both"/>
              <w:textAlignment w:val="baseline"/>
              <w:outlineLvl w:val="2"/>
              <w:rPr>
                <w:rFonts w:ascii="Garamond" w:eastAsia="MS Mincho" w:hAnsi="Garamond"/>
                <w:b w:val="0"/>
                <w:bCs w:val="0"/>
                <w:sz w:val="24"/>
                <w:szCs w:val="24"/>
                <w:lang w:eastAsia="en-US"/>
              </w:rPr>
            </w:pPr>
            <w:proofErr w:type="spellStart"/>
            <w:r w:rsidRPr="00622A32">
              <w:rPr>
                <w:rFonts w:ascii="Garamond" w:eastAsia="MS Mincho" w:hAnsi="Garamond"/>
                <w:b w:val="0"/>
                <w:bCs w:val="0"/>
                <w:sz w:val="24"/>
                <w:szCs w:val="24"/>
                <w:lang w:eastAsia="en-US"/>
              </w:rPr>
              <w:t>Wojtek</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Piatek</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ed</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Supervision</w:t>
            </w:r>
            <w:proofErr w:type="spellEnd"/>
            <w:r w:rsidRPr="00622A32">
              <w:rPr>
                <w:rFonts w:ascii="Garamond" w:eastAsia="MS Mincho" w:hAnsi="Garamond"/>
                <w:b w:val="0"/>
                <w:bCs w:val="0"/>
                <w:sz w:val="24"/>
                <w:szCs w:val="24"/>
                <w:lang w:eastAsia="en-US"/>
              </w:rPr>
              <w:t xml:space="preserve"> of </w:t>
            </w:r>
            <w:proofErr w:type="spellStart"/>
            <w:r w:rsidRPr="00622A32">
              <w:rPr>
                <w:rFonts w:ascii="Garamond" w:eastAsia="MS Mincho" w:hAnsi="Garamond"/>
                <w:b w:val="0"/>
                <w:bCs w:val="0"/>
                <w:sz w:val="24"/>
                <w:szCs w:val="24"/>
                <w:lang w:eastAsia="en-US"/>
              </w:rPr>
              <w:t>courts</w:t>
            </w:r>
            <w:proofErr w:type="spellEnd"/>
            <w:r w:rsidRPr="00622A32">
              <w:rPr>
                <w:rFonts w:ascii="Garamond" w:eastAsia="MS Mincho" w:hAnsi="Garamond"/>
                <w:b w:val="0"/>
                <w:bCs w:val="0"/>
                <w:sz w:val="24"/>
                <w:szCs w:val="24"/>
                <w:lang w:eastAsia="en-US"/>
              </w:rPr>
              <w:t>, Poznan, 2021.</w:t>
            </w:r>
          </w:p>
          <w:p w14:paraId="3CE73734" w14:textId="323EDF38" w:rsidR="00C0165F" w:rsidRPr="00622A32" w:rsidRDefault="00C0165F" w:rsidP="0013715B">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proofErr w:type="spellStart"/>
            <w:r w:rsidRPr="00622A32">
              <w:rPr>
                <w:rFonts w:ascii="Garamond" w:eastAsia="MS Mincho" w:hAnsi="Garamond"/>
                <w:b w:val="0"/>
                <w:bCs w:val="0"/>
                <w:sz w:val="24"/>
                <w:szCs w:val="24"/>
                <w:lang w:eastAsia="en-US"/>
              </w:rPr>
              <w:t>Badó</w:t>
            </w:r>
            <w:proofErr w:type="spellEnd"/>
            <w:r w:rsidRPr="00622A32">
              <w:rPr>
                <w:rFonts w:ascii="Garamond" w:eastAsia="MS Mincho" w:hAnsi="Garamond"/>
                <w:b w:val="0"/>
                <w:bCs w:val="0"/>
                <w:sz w:val="24"/>
                <w:szCs w:val="24"/>
                <w:lang w:eastAsia="en-US"/>
              </w:rPr>
              <w:t>, Attila (</w:t>
            </w:r>
            <w:proofErr w:type="spellStart"/>
            <w:r w:rsidRPr="00622A32">
              <w:rPr>
                <w:rFonts w:ascii="Garamond" w:eastAsia="MS Mincho" w:hAnsi="Garamond"/>
                <w:b w:val="0"/>
                <w:bCs w:val="0"/>
                <w:sz w:val="24"/>
                <w:szCs w:val="24"/>
                <w:lang w:eastAsia="en-US"/>
              </w:rPr>
              <w:t>Ed</w:t>
            </w:r>
            <w:proofErr w:type="spellEnd"/>
            <w:r w:rsidRPr="00622A32">
              <w:rPr>
                <w:rFonts w:ascii="Garamond" w:eastAsia="MS Mincho" w:hAnsi="Garamond"/>
                <w:b w:val="0"/>
                <w:bCs w:val="0"/>
                <w:sz w:val="24"/>
                <w:szCs w:val="24"/>
                <w:lang w:eastAsia="en-US"/>
              </w:rPr>
              <w:t xml:space="preserve">.) Fair </w:t>
            </w:r>
            <w:proofErr w:type="spellStart"/>
            <w:r w:rsidRPr="00622A32">
              <w:rPr>
                <w:rFonts w:ascii="Garamond" w:eastAsia="MS Mincho" w:hAnsi="Garamond"/>
                <w:b w:val="0"/>
                <w:bCs w:val="0"/>
                <w:sz w:val="24"/>
                <w:szCs w:val="24"/>
                <w:lang w:eastAsia="en-US"/>
              </w:rPr>
              <w:t>Trial</w:t>
            </w:r>
            <w:proofErr w:type="spellEnd"/>
            <w:r w:rsidRPr="00622A32">
              <w:rPr>
                <w:rFonts w:ascii="Garamond" w:eastAsia="MS Mincho" w:hAnsi="Garamond"/>
                <w:b w:val="0"/>
                <w:bCs w:val="0"/>
                <w:sz w:val="24"/>
                <w:szCs w:val="24"/>
                <w:lang w:eastAsia="en-US"/>
              </w:rPr>
              <w:t xml:space="preserve"> and </w:t>
            </w:r>
            <w:proofErr w:type="spellStart"/>
            <w:r w:rsidRPr="00622A32">
              <w:rPr>
                <w:rFonts w:ascii="Garamond" w:eastAsia="MS Mincho" w:hAnsi="Garamond"/>
                <w:b w:val="0"/>
                <w:bCs w:val="0"/>
                <w:sz w:val="24"/>
                <w:szCs w:val="24"/>
                <w:lang w:eastAsia="en-US"/>
              </w:rPr>
              <w:t>Judicial</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Independence</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Hungarian</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Perspectives</w:t>
            </w:r>
            <w:proofErr w:type="spellEnd"/>
            <w:r w:rsidRPr="00622A32">
              <w:rPr>
                <w:rFonts w:ascii="Garamond" w:eastAsia="MS Mincho" w:hAnsi="Garamond"/>
                <w:b w:val="0"/>
                <w:bCs w:val="0"/>
                <w:sz w:val="24"/>
                <w:szCs w:val="24"/>
                <w:lang w:eastAsia="en-US"/>
              </w:rPr>
              <w:t xml:space="preserve">  Springer, 2014. </w:t>
            </w:r>
          </w:p>
          <w:p w14:paraId="1092D5B2" w14:textId="77777777" w:rsidR="00C0165F" w:rsidRPr="00622A32" w:rsidRDefault="001078D9" w:rsidP="0013715B">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622A32">
              <w:rPr>
                <w:rFonts w:ascii="Garamond" w:eastAsia="MS Mincho" w:hAnsi="Garamond"/>
                <w:b w:val="0"/>
                <w:bCs w:val="0"/>
                <w:sz w:val="24"/>
                <w:szCs w:val="24"/>
                <w:lang w:eastAsia="en-US"/>
              </w:rPr>
              <w:t xml:space="preserve">F. Rozsnyai, K. (2019). </w:t>
            </w:r>
            <w:proofErr w:type="spellStart"/>
            <w:r w:rsidRPr="00622A32">
              <w:rPr>
                <w:rFonts w:ascii="Garamond" w:eastAsia="MS Mincho" w:hAnsi="Garamond"/>
                <w:b w:val="0"/>
                <w:bCs w:val="0"/>
                <w:sz w:val="24"/>
                <w:szCs w:val="24"/>
                <w:lang w:eastAsia="en-US"/>
              </w:rPr>
              <w:t>Current</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Tendencies</w:t>
            </w:r>
            <w:proofErr w:type="spellEnd"/>
            <w:r w:rsidRPr="00622A32">
              <w:rPr>
                <w:rFonts w:ascii="Garamond" w:eastAsia="MS Mincho" w:hAnsi="Garamond"/>
                <w:b w:val="0"/>
                <w:bCs w:val="0"/>
                <w:sz w:val="24"/>
                <w:szCs w:val="24"/>
                <w:lang w:eastAsia="en-US"/>
              </w:rPr>
              <w:t xml:space="preserve"> of </w:t>
            </w:r>
            <w:proofErr w:type="spellStart"/>
            <w:r w:rsidRPr="00622A32">
              <w:rPr>
                <w:rFonts w:ascii="Garamond" w:eastAsia="MS Mincho" w:hAnsi="Garamond"/>
                <w:b w:val="0"/>
                <w:bCs w:val="0"/>
                <w:sz w:val="24"/>
                <w:szCs w:val="24"/>
                <w:lang w:eastAsia="en-US"/>
              </w:rPr>
              <w:t>Judicial</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Review</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as</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Reflected</w:t>
            </w:r>
            <w:proofErr w:type="spellEnd"/>
            <w:r w:rsidRPr="00622A32">
              <w:rPr>
                <w:rFonts w:ascii="Garamond" w:eastAsia="MS Mincho" w:hAnsi="Garamond"/>
                <w:b w:val="0"/>
                <w:bCs w:val="0"/>
                <w:sz w:val="24"/>
                <w:szCs w:val="24"/>
                <w:lang w:eastAsia="en-US"/>
              </w:rPr>
              <w:t xml:space="preserve"> in </w:t>
            </w:r>
            <w:proofErr w:type="spellStart"/>
            <w:r w:rsidRPr="00622A32">
              <w:rPr>
                <w:rFonts w:ascii="Garamond" w:eastAsia="MS Mincho" w:hAnsi="Garamond"/>
                <w:b w:val="0"/>
                <w:bCs w:val="0"/>
                <w:sz w:val="24"/>
                <w:szCs w:val="24"/>
                <w:lang w:eastAsia="en-US"/>
              </w:rPr>
              <w:t>the</w:t>
            </w:r>
            <w:proofErr w:type="spellEnd"/>
            <w:r w:rsidRPr="00622A32">
              <w:rPr>
                <w:rFonts w:ascii="Garamond" w:eastAsia="MS Mincho" w:hAnsi="Garamond"/>
                <w:b w:val="0"/>
                <w:bCs w:val="0"/>
                <w:sz w:val="24"/>
                <w:szCs w:val="24"/>
                <w:lang w:eastAsia="en-US"/>
              </w:rPr>
              <w:t xml:space="preserve"> New </w:t>
            </w:r>
            <w:proofErr w:type="spellStart"/>
            <w:r w:rsidRPr="00622A32">
              <w:rPr>
                <w:rFonts w:ascii="Garamond" w:eastAsia="MS Mincho" w:hAnsi="Garamond"/>
                <w:b w:val="0"/>
                <w:bCs w:val="0"/>
                <w:sz w:val="24"/>
                <w:szCs w:val="24"/>
                <w:lang w:eastAsia="en-US"/>
              </w:rPr>
              <w:t>Hungarian</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Code</w:t>
            </w:r>
            <w:proofErr w:type="spellEnd"/>
            <w:r w:rsidRPr="00622A32">
              <w:rPr>
                <w:rFonts w:ascii="Garamond" w:eastAsia="MS Mincho" w:hAnsi="Garamond"/>
                <w:b w:val="0"/>
                <w:bCs w:val="0"/>
                <w:sz w:val="24"/>
                <w:szCs w:val="24"/>
                <w:lang w:eastAsia="en-US"/>
              </w:rPr>
              <w:t xml:space="preserve"> of </w:t>
            </w:r>
            <w:proofErr w:type="spellStart"/>
            <w:r w:rsidRPr="00622A32">
              <w:rPr>
                <w:rFonts w:ascii="Garamond" w:eastAsia="MS Mincho" w:hAnsi="Garamond"/>
                <w:b w:val="0"/>
                <w:bCs w:val="0"/>
                <w:sz w:val="24"/>
                <w:szCs w:val="24"/>
                <w:lang w:eastAsia="en-US"/>
              </w:rPr>
              <w:t>Administrative</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Court</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Procedure</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Central</w:t>
            </w:r>
            <w:proofErr w:type="spellEnd"/>
            <w:r w:rsidRPr="00622A32">
              <w:rPr>
                <w:rFonts w:ascii="Garamond" w:eastAsia="MS Mincho" w:hAnsi="Garamond"/>
                <w:b w:val="0"/>
                <w:bCs w:val="0"/>
                <w:sz w:val="24"/>
                <w:szCs w:val="24"/>
                <w:lang w:eastAsia="en-US"/>
              </w:rPr>
              <w:t xml:space="preserve"> European Public </w:t>
            </w:r>
            <w:proofErr w:type="spellStart"/>
            <w:r w:rsidRPr="00622A32">
              <w:rPr>
                <w:rFonts w:ascii="Garamond" w:eastAsia="MS Mincho" w:hAnsi="Garamond"/>
                <w:b w:val="0"/>
                <w:bCs w:val="0"/>
                <w:sz w:val="24"/>
                <w:szCs w:val="24"/>
                <w:lang w:eastAsia="en-US"/>
              </w:rPr>
              <w:t>Administration</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Review</w:t>
            </w:r>
            <w:proofErr w:type="spellEnd"/>
            <w:r w:rsidRPr="00622A32">
              <w:rPr>
                <w:rFonts w:ascii="Garamond" w:eastAsia="MS Mincho" w:hAnsi="Garamond"/>
                <w:b w:val="0"/>
                <w:bCs w:val="0"/>
                <w:sz w:val="24"/>
                <w:szCs w:val="24"/>
                <w:lang w:eastAsia="en-US"/>
              </w:rPr>
              <w:t xml:space="preserve">, 17(1), pp. 7–23. </w:t>
            </w:r>
          </w:p>
          <w:p w14:paraId="4A643378" w14:textId="77777777" w:rsidR="00C0165F" w:rsidRPr="00622A32" w:rsidRDefault="001078D9" w:rsidP="0013715B">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622A32">
              <w:rPr>
                <w:rFonts w:ascii="Garamond" w:eastAsia="MS Mincho" w:hAnsi="Garamond"/>
                <w:b w:val="0"/>
                <w:bCs w:val="0"/>
                <w:sz w:val="24"/>
                <w:szCs w:val="24"/>
                <w:lang w:eastAsia="en-US"/>
              </w:rPr>
              <w:t xml:space="preserve">Vadász, Viktor; György Kovács, András: A game </w:t>
            </w:r>
            <w:proofErr w:type="spellStart"/>
            <w:r w:rsidRPr="00622A32">
              <w:rPr>
                <w:rFonts w:ascii="Garamond" w:eastAsia="MS Mincho" w:hAnsi="Garamond"/>
                <w:b w:val="0"/>
                <w:bCs w:val="0"/>
                <w:sz w:val="24"/>
                <w:szCs w:val="24"/>
                <w:lang w:eastAsia="en-US"/>
              </w:rPr>
              <w:t>hacked</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by</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the</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dealer</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VerfBlog</w:t>
            </w:r>
            <w:proofErr w:type="spellEnd"/>
            <w:r w:rsidRPr="00622A32">
              <w:rPr>
                <w:rFonts w:ascii="Garamond" w:eastAsia="MS Mincho" w:hAnsi="Garamond"/>
                <w:b w:val="0"/>
                <w:bCs w:val="0"/>
                <w:sz w:val="24"/>
                <w:szCs w:val="24"/>
                <w:lang w:eastAsia="en-US"/>
              </w:rPr>
              <w:t>, 2020/11/10, https://verfassungsblog.de/a-game-hacked-by-the-dealer/, DOI: </w:t>
            </w:r>
            <w:hyperlink r:id="rId11" w:tgtFrame="_blank" w:history="1">
              <w:r w:rsidRPr="00622A32">
                <w:rPr>
                  <w:rFonts w:ascii="Garamond" w:eastAsia="MS Mincho" w:hAnsi="Garamond"/>
                  <w:b w:val="0"/>
                  <w:bCs w:val="0"/>
                  <w:sz w:val="24"/>
                  <w:szCs w:val="24"/>
                  <w:lang w:eastAsia="en-US"/>
                </w:rPr>
                <w:t>10.17176/20201110-200050-0</w:t>
              </w:r>
            </w:hyperlink>
            <w:r w:rsidRPr="00622A32">
              <w:rPr>
                <w:rFonts w:ascii="Garamond" w:eastAsia="MS Mincho" w:hAnsi="Garamond"/>
                <w:b w:val="0"/>
                <w:bCs w:val="0"/>
                <w:sz w:val="24"/>
                <w:szCs w:val="24"/>
                <w:lang w:eastAsia="en-US"/>
              </w:rPr>
              <w:t xml:space="preserve">. </w:t>
            </w:r>
          </w:p>
          <w:p w14:paraId="7D1DD31E" w14:textId="77777777" w:rsidR="001078D9" w:rsidRPr="00622A32" w:rsidRDefault="001078D9" w:rsidP="0013715B">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622A32">
              <w:rPr>
                <w:rFonts w:ascii="Garamond" w:eastAsia="MS Mincho" w:hAnsi="Garamond"/>
                <w:b w:val="0"/>
                <w:bCs w:val="0"/>
                <w:sz w:val="24"/>
                <w:szCs w:val="24"/>
                <w:lang w:eastAsia="en-US"/>
              </w:rPr>
              <w:t xml:space="preserve">F. Rozsnyai, K. (2019) </w:t>
            </w:r>
            <w:proofErr w:type="spellStart"/>
            <w:r w:rsidRPr="00622A32">
              <w:rPr>
                <w:rFonts w:ascii="Garamond" w:eastAsia="MS Mincho" w:hAnsi="Garamond"/>
                <w:b w:val="0"/>
                <w:bCs w:val="0"/>
                <w:sz w:val="24"/>
                <w:szCs w:val="24"/>
                <w:lang w:eastAsia="en-US"/>
              </w:rPr>
              <w:t>Administrative</w:t>
            </w:r>
            <w:proofErr w:type="spellEnd"/>
            <w:r w:rsidRPr="00622A32">
              <w:rPr>
                <w:rFonts w:ascii="Garamond" w:eastAsia="MS Mincho" w:hAnsi="Garamond"/>
                <w:b w:val="0"/>
                <w:bCs w:val="0"/>
                <w:sz w:val="24"/>
                <w:szCs w:val="24"/>
                <w:lang w:eastAsia="en-US"/>
              </w:rPr>
              <w:t xml:space="preserve"> Law Hungary – </w:t>
            </w:r>
            <w:proofErr w:type="spellStart"/>
            <w:r w:rsidRPr="00622A32">
              <w:rPr>
                <w:rFonts w:ascii="Garamond" w:eastAsia="MS Mincho" w:hAnsi="Garamond"/>
                <w:b w:val="0"/>
                <w:bCs w:val="0"/>
                <w:sz w:val="24"/>
                <w:szCs w:val="24"/>
                <w:lang w:eastAsia="en-US"/>
              </w:rPr>
              <w:t>Chronicle</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for</w:t>
            </w:r>
            <w:proofErr w:type="spellEnd"/>
            <w:r w:rsidRPr="00622A32">
              <w:rPr>
                <w:rFonts w:ascii="Garamond" w:eastAsia="MS Mincho" w:hAnsi="Garamond"/>
                <w:b w:val="0"/>
                <w:bCs w:val="0"/>
                <w:sz w:val="24"/>
                <w:szCs w:val="24"/>
                <w:lang w:eastAsia="en-US"/>
              </w:rPr>
              <w:t xml:space="preserve"> 2018. European </w:t>
            </w:r>
            <w:proofErr w:type="spellStart"/>
            <w:r w:rsidRPr="00622A32">
              <w:rPr>
                <w:rFonts w:ascii="Garamond" w:eastAsia="MS Mincho" w:hAnsi="Garamond"/>
                <w:b w:val="0"/>
                <w:bCs w:val="0"/>
                <w:sz w:val="24"/>
                <w:szCs w:val="24"/>
                <w:lang w:eastAsia="en-US"/>
              </w:rPr>
              <w:t>Review</w:t>
            </w:r>
            <w:proofErr w:type="spellEnd"/>
            <w:r w:rsidRPr="00622A32">
              <w:rPr>
                <w:rFonts w:ascii="Garamond" w:eastAsia="MS Mincho" w:hAnsi="Garamond"/>
                <w:b w:val="0"/>
                <w:bCs w:val="0"/>
                <w:sz w:val="24"/>
                <w:szCs w:val="24"/>
                <w:lang w:eastAsia="en-US"/>
              </w:rPr>
              <w:t xml:space="preserve"> of Public Law, </w:t>
            </w:r>
            <w:proofErr w:type="spellStart"/>
            <w:r w:rsidRPr="00622A32">
              <w:rPr>
                <w:rFonts w:ascii="Garamond" w:eastAsia="MS Mincho" w:hAnsi="Garamond"/>
                <w:b w:val="0"/>
                <w:bCs w:val="0"/>
                <w:sz w:val="24"/>
                <w:szCs w:val="24"/>
                <w:lang w:eastAsia="en-US"/>
              </w:rPr>
              <w:t>Vol</w:t>
            </w:r>
            <w:proofErr w:type="spellEnd"/>
            <w:r w:rsidRPr="00622A32">
              <w:rPr>
                <w:rFonts w:ascii="Garamond" w:eastAsia="MS Mincho" w:hAnsi="Garamond"/>
                <w:b w:val="0"/>
                <w:bCs w:val="0"/>
                <w:sz w:val="24"/>
                <w:szCs w:val="24"/>
                <w:lang w:eastAsia="en-US"/>
              </w:rPr>
              <w:t xml:space="preserve">. 30, no 4 (110), </w:t>
            </w:r>
            <w:proofErr w:type="spellStart"/>
            <w:r w:rsidRPr="00622A32">
              <w:rPr>
                <w:rFonts w:ascii="Garamond" w:eastAsia="MS Mincho" w:hAnsi="Garamond"/>
                <w:b w:val="0"/>
                <w:bCs w:val="0"/>
                <w:sz w:val="24"/>
                <w:szCs w:val="24"/>
                <w:lang w:eastAsia="en-US"/>
              </w:rPr>
              <w:t>winter</w:t>
            </w:r>
            <w:proofErr w:type="spellEnd"/>
            <w:r w:rsidRPr="00622A32">
              <w:rPr>
                <w:rFonts w:ascii="Garamond" w:eastAsia="MS Mincho" w:hAnsi="Garamond"/>
                <w:b w:val="0"/>
                <w:bCs w:val="0"/>
                <w:sz w:val="24"/>
                <w:szCs w:val="24"/>
                <w:lang w:eastAsia="en-US"/>
              </w:rPr>
              <w:t>/</w:t>
            </w:r>
            <w:proofErr w:type="spellStart"/>
            <w:r w:rsidRPr="00622A32">
              <w:rPr>
                <w:rFonts w:ascii="Garamond" w:eastAsia="MS Mincho" w:hAnsi="Garamond"/>
                <w:b w:val="0"/>
                <w:bCs w:val="0"/>
                <w:sz w:val="24"/>
                <w:szCs w:val="24"/>
                <w:lang w:eastAsia="en-US"/>
              </w:rPr>
              <w:t>hiver</w:t>
            </w:r>
            <w:proofErr w:type="spellEnd"/>
            <w:r w:rsidRPr="00622A32">
              <w:rPr>
                <w:rFonts w:ascii="Garamond" w:eastAsia="MS Mincho" w:hAnsi="Garamond"/>
                <w:b w:val="0"/>
                <w:bCs w:val="0"/>
                <w:sz w:val="24"/>
                <w:szCs w:val="24"/>
                <w:lang w:eastAsia="en-US"/>
              </w:rPr>
              <w:t xml:space="preserve"> 2018. </w:t>
            </w:r>
          </w:p>
          <w:p w14:paraId="345207AB" w14:textId="3CD77ADC" w:rsidR="00622A32" w:rsidRPr="00622A32" w:rsidRDefault="00FB4D21" w:rsidP="0013715B">
            <w:pPr>
              <w:pStyle w:val="Cmsor3"/>
              <w:pBdr>
                <w:bottom w:val="single" w:sz="6" w:space="9" w:color="D3D3D3"/>
              </w:pBdr>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622A32">
              <w:rPr>
                <w:rFonts w:ascii="Garamond" w:eastAsia="MS Mincho" w:hAnsi="Garamond"/>
                <w:b w:val="0"/>
                <w:bCs w:val="0"/>
                <w:sz w:val="24"/>
                <w:szCs w:val="24"/>
                <w:lang w:eastAsia="en-US"/>
              </w:rPr>
              <w:t>[</w:t>
            </w:r>
            <w:proofErr w:type="spellStart"/>
            <w:r w:rsidR="00DB5728">
              <w:rPr>
                <w:rFonts w:ascii="Garamond" w:eastAsia="MS Mincho" w:hAnsi="Garamond"/>
                <w:b w:val="0"/>
                <w:bCs w:val="0"/>
                <w:sz w:val="24"/>
                <w:szCs w:val="24"/>
                <w:lang w:eastAsia="en-US"/>
              </w:rPr>
              <w:t>Lnks</w:t>
            </w:r>
            <w:proofErr w:type="spellEnd"/>
            <w:r w:rsidR="00DB5728">
              <w:rPr>
                <w:rFonts w:ascii="Garamond" w:eastAsia="MS Mincho" w:hAnsi="Garamond"/>
                <w:b w:val="0"/>
                <w:bCs w:val="0"/>
                <w:sz w:val="24"/>
                <w:szCs w:val="24"/>
                <w:lang w:eastAsia="en-US"/>
              </w:rPr>
              <w:t xml:space="preserve"> and </w:t>
            </w:r>
            <w:proofErr w:type="spellStart"/>
            <w:r w:rsidR="00DB5728">
              <w:rPr>
                <w:rFonts w:ascii="Garamond" w:eastAsia="MS Mincho" w:hAnsi="Garamond"/>
                <w:b w:val="0"/>
                <w:bCs w:val="0"/>
                <w:sz w:val="24"/>
                <w:szCs w:val="24"/>
                <w:lang w:eastAsia="en-US"/>
              </w:rPr>
              <w:t>f</w:t>
            </w:r>
            <w:r w:rsidRPr="00622A32">
              <w:rPr>
                <w:rFonts w:ascii="Garamond" w:eastAsia="MS Mincho" w:hAnsi="Garamond"/>
                <w:b w:val="0"/>
                <w:bCs w:val="0"/>
                <w:sz w:val="24"/>
                <w:szCs w:val="24"/>
                <w:lang w:eastAsia="en-US"/>
              </w:rPr>
              <w:t>urther</w:t>
            </w:r>
            <w:proofErr w:type="spellEnd"/>
            <w:r w:rsidRPr="00622A32">
              <w:rPr>
                <w:rFonts w:ascii="Garamond" w:eastAsia="MS Mincho" w:hAnsi="Garamond"/>
                <w:b w:val="0"/>
                <w:bCs w:val="0"/>
                <w:sz w:val="24"/>
                <w:szCs w:val="24"/>
                <w:lang w:eastAsia="en-US"/>
              </w:rPr>
              <w:t xml:space="preserve"> </w:t>
            </w:r>
            <w:proofErr w:type="spellStart"/>
            <w:r w:rsidRPr="00622A32">
              <w:rPr>
                <w:rFonts w:ascii="Garamond" w:eastAsia="MS Mincho" w:hAnsi="Garamond"/>
                <w:b w:val="0"/>
                <w:bCs w:val="0"/>
                <w:sz w:val="24"/>
                <w:szCs w:val="24"/>
                <w:lang w:eastAsia="en-US"/>
              </w:rPr>
              <w:t>materials</w:t>
            </w:r>
            <w:proofErr w:type="spellEnd"/>
            <w:r w:rsidRPr="00622A32">
              <w:rPr>
                <w:rFonts w:ascii="Garamond" w:eastAsia="MS Mincho" w:hAnsi="Garamond"/>
                <w:b w:val="0"/>
                <w:bCs w:val="0"/>
                <w:sz w:val="24"/>
                <w:szCs w:val="24"/>
                <w:lang w:eastAsia="en-US"/>
              </w:rPr>
              <w:t xml:space="preserve"> in </w:t>
            </w:r>
            <w:proofErr w:type="spellStart"/>
            <w:r w:rsidRPr="00622A32">
              <w:rPr>
                <w:rFonts w:ascii="Garamond" w:eastAsia="MS Mincho" w:hAnsi="Garamond"/>
                <w:b w:val="0"/>
                <w:bCs w:val="0"/>
                <w:sz w:val="24"/>
                <w:szCs w:val="24"/>
                <w:lang w:eastAsia="en-US"/>
              </w:rPr>
              <w:t>the</w:t>
            </w:r>
            <w:proofErr w:type="spellEnd"/>
            <w:r w:rsidRPr="00622A32">
              <w:rPr>
                <w:rFonts w:ascii="Garamond" w:eastAsia="MS Mincho" w:hAnsi="Garamond"/>
                <w:b w:val="0"/>
                <w:bCs w:val="0"/>
                <w:sz w:val="24"/>
                <w:szCs w:val="24"/>
                <w:lang w:eastAsia="en-US"/>
              </w:rPr>
              <w:t xml:space="preserve"> LM System]</w:t>
            </w:r>
          </w:p>
        </w:tc>
      </w:tr>
      <w:tr w:rsidR="0013685C" w:rsidRPr="004C29A2" w14:paraId="172F0FFF" w14:textId="49FCEC89" w:rsidTr="00622A32">
        <w:trPr>
          <w:trHeight w:val="2211"/>
        </w:trPr>
        <w:tc>
          <w:tcPr>
            <w:tcW w:w="2137" w:type="dxa"/>
          </w:tcPr>
          <w:p w14:paraId="7394312A" w14:textId="77777777" w:rsidR="0013685C" w:rsidRPr="004C29A2" w:rsidRDefault="0013685C" w:rsidP="00B91483">
            <w:pPr>
              <w:autoSpaceDE w:val="0"/>
              <w:autoSpaceDN w:val="0"/>
              <w:adjustRightInd w:val="0"/>
              <w:jc w:val="both"/>
              <w:rPr>
                <w:rFonts w:ascii="Garamond" w:eastAsia="MS Mincho" w:hAnsi="Garamond" w:cs="Times New Roman"/>
                <w:b/>
                <w:bCs/>
                <w:sz w:val="24"/>
                <w:szCs w:val="24"/>
                <w:lang w:val="en-GB"/>
              </w:rPr>
            </w:pPr>
            <w:r w:rsidRPr="004C29A2">
              <w:rPr>
                <w:rFonts w:ascii="Garamond" w:eastAsia="MS Mincho" w:hAnsi="Garamond" w:cs="Times New Roman"/>
                <w:b/>
                <w:bCs/>
                <w:sz w:val="24"/>
                <w:szCs w:val="24"/>
                <w:lang w:val="en-GB"/>
              </w:rPr>
              <w:lastRenderedPageBreak/>
              <w:t>Assessment/Exam</w:t>
            </w:r>
          </w:p>
        </w:tc>
        <w:tc>
          <w:tcPr>
            <w:tcW w:w="7787" w:type="dxa"/>
          </w:tcPr>
          <w:p w14:paraId="4206065A" w14:textId="77777777" w:rsidR="00DB5728" w:rsidRDefault="00337CBD" w:rsidP="00337CBD">
            <w:pPr>
              <w:pStyle w:val="Cmsor3"/>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proofErr w:type="spellStart"/>
            <w:r w:rsidRPr="00337CBD">
              <w:rPr>
                <w:rFonts w:ascii="Garamond" w:eastAsia="MS Mincho" w:hAnsi="Garamond"/>
                <w:b w:val="0"/>
                <w:bCs w:val="0"/>
                <w:sz w:val="24"/>
                <w:szCs w:val="24"/>
                <w:lang w:eastAsia="en-US"/>
              </w:rPr>
              <w:t>Assessment</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will</w:t>
            </w:r>
            <w:proofErr w:type="spellEnd"/>
            <w:r w:rsidRPr="00337CBD">
              <w:rPr>
                <w:rFonts w:ascii="Garamond" w:eastAsia="MS Mincho" w:hAnsi="Garamond"/>
                <w:b w:val="0"/>
                <w:bCs w:val="0"/>
                <w:sz w:val="24"/>
                <w:szCs w:val="24"/>
                <w:lang w:eastAsia="en-US"/>
              </w:rPr>
              <w:t xml:space="preserve"> be </w:t>
            </w:r>
            <w:proofErr w:type="spellStart"/>
            <w:r w:rsidRPr="00337CBD">
              <w:rPr>
                <w:rFonts w:ascii="Garamond" w:eastAsia="MS Mincho" w:hAnsi="Garamond"/>
                <w:b w:val="0"/>
                <w:bCs w:val="0"/>
                <w:sz w:val="24"/>
                <w:szCs w:val="24"/>
                <w:lang w:eastAsia="en-US"/>
              </w:rPr>
              <w:t>threefold</w:t>
            </w:r>
            <w:proofErr w:type="spellEnd"/>
            <w:r w:rsidR="00DB5728">
              <w:rPr>
                <w:rFonts w:ascii="Garamond" w:eastAsia="MS Mincho" w:hAnsi="Garamond"/>
                <w:b w:val="0"/>
                <w:bCs w:val="0"/>
                <w:sz w:val="24"/>
                <w:szCs w:val="24"/>
                <w:lang w:eastAsia="en-US"/>
              </w:rPr>
              <w:t>:</w:t>
            </w:r>
          </w:p>
          <w:p w14:paraId="5533BD7D" w14:textId="7C2E9371" w:rsidR="00337CBD" w:rsidRDefault="00337CBD" w:rsidP="00337CBD">
            <w:pPr>
              <w:pStyle w:val="Cmsor3"/>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337CBD">
              <w:rPr>
                <w:rFonts w:ascii="Garamond" w:eastAsia="MS Mincho" w:hAnsi="Garamond"/>
                <w:b w:val="0"/>
                <w:bCs w:val="0"/>
                <w:sz w:val="24"/>
                <w:szCs w:val="24"/>
                <w:lang w:eastAsia="en-US"/>
              </w:rPr>
              <w:t xml:space="preserve">1. </w:t>
            </w:r>
            <w:proofErr w:type="spellStart"/>
            <w:r w:rsidRPr="00337CBD">
              <w:rPr>
                <w:rFonts w:ascii="Garamond" w:eastAsia="MS Mincho" w:hAnsi="Garamond"/>
                <w:b w:val="0"/>
                <w:bCs w:val="0"/>
                <w:sz w:val="24"/>
                <w:szCs w:val="24"/>
                <w:lang w:eastAsia="en-US"/>
              </w:rPr>
              <w:t>Final</w:t>
            </w:r>
            <w:proofErr w:type="spellEnd"/>
            <w:r w:rsidRPr="00337CBD">
              <w:rPr>
                <w:rFonts w:ascii="Garamond" w:eastAsia="MS Mincho" w:hAnsi="Garamond"/>
                <w:b w:val="0"/>
                <w:bCs w:val="0"/>
                <w:sz w:val="24"/>
                <w:szCs w:val="24"/>
                <w:lang w:eastAsia="en-US"/>
              </w:rPr>
              <w:t xml:space="preserve"> in-</w:t>
            </w:r>
            <w:proofErr w:type="spellStart"/>
            <w:r w:rsidRPr="00337CBD">
              <w:rPr>
                <w:rFonts w:ascii="Garamond" w:eastAsia="MS Mincho" w:hAnsi="Garamond"/>
                <w:b w:val="0"/>
                <w:bCs w:val="0"/>
                <w:sz w:val="24"/>
                <w:szCs w:val="24"/>
                <w:lang w:eastAsia="en-US"/>
              </w:rPr>
              <w:t>course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written</w:t>
            </w:r>
            <w:proofErr w:type="spellEnd"/>
            <w:r w:rsidRPr="00337CBD">
              <w:rPr>
                <w:rFonts w:ascii="Garamond" w:eastAsia="MS Mincho" w:hAnsi="Garamond"/>
                <w:b w:val="0"/>
                <w:bCs w:val="0"/>
                <w:sz w:val="24"/>
                <w:szCs w:val="24"/>
                <w:lang w:eastAsia="en-US"/>
              </w:rPr>
              <w:t xml:space="preserve"> test (53%)</w:t>
            </w:r>
          </w:p>
          <w:p w14:paraId="602B6E2C" w14:textId="77777777" w:rsidR="00337CBD" w:rsidRDefault="00337CBD" w:rsidP="00337CBD">
            <w:pPr>
              <w:pStyle w:val="Cmsor3"/>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337CBD">
              <w:rPr>
                <w:rFonts w:ascii="Garamond" w:eastAsia="MS Mincho" w:hAnsi="Garamond"/>
                <w:b w:val="0"/>
                <w:bCs w:val="0"/>
                <w:sz w:val="24"/>
                <w:szCs w:val="24"/>
                <w:lang w:eastAsia="en-US"/>
              </w:rPr>
              <w:t xml:space="preserve">2. </w:t>
            </w:r>
            <w:proofErr w:type="spellStart"/>
            <w:r w:rsidRPr="00337CBD">
              <w:rPr>
                <w:rFonts w:ascii="Garamond" w:eastAsia="MS Mincho" w:hAnsi="Garamond"/>
                <w:b w:val="0"/>
                <w:bCs w:val="0"/>
                <w:sz w:val="24"/>
                <w:szCs w:val="24"/>
                <w:lang w:eastAsia="en-US"/>
              </w:rPr>
              <w:t>Homeworks</w:t>
            </w:r>
            <w:proofErr w:type="spellEnd"/>
            <w:r w:rsidRPr="00337CBD">
              <w:rPr>
                <w:rFonts w:ascii="Garamond" w:eastAsia="MS Mincho" w:hAnsi="Garamond"/>
                <w:b w:val="0"/>
                <w:bCs w:val="0"/>
                <w:sz w:val="24"/>
                <w:szCs w:val="24"/>
                <w:lang w:eastAsia="en-US"/>
              </w:rPr>
              <w:t xml:space="preserve"> (27%)</w:t>
            </w:r>
          </w:p>
          <w:p w14:paraId="1A14C3E9" w14:textId="7D2E7BE7" w:rsidR="00337CBD" w:rsidRPr="00337CBD" w:rsidRDefault="00337CBD" w:rsidP="00337CBD">
            <w:pPr>
              <w:pStyle w:val="Cmsor3"/>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337CBD">
              <w:rPr>
                <w:rFonts w:ascii="Garamond" w:eastAsia="MS Mincho" w:hAnsi="Garamond"/>
                <w:b w:val="0"/>
                <w:bCs w:val="0"/>
                <w:sz w:val="24"/>
                <w:szCs w:val="24"/>
                <w:lang w:eastAsia="en-US"/>
              </w:rPr>
              <w:t xml:space="preserve">2. </w:t>
            </w:r>
            <w:proofErr w:type="spellStart"/>
            <w:r w:rsidRPr="00337CBD">
              <w:rPr>
                <w:rFonts w:ascii="Garamond" w:eastAsia="MS Mincho" w:hAnsi="Garamond"/>
                <w:b w:val="0"/>
                <w:bCs w:val="0"/>
                <w:sz w:val="24"/>
                <w:szCs w:val="24"/>
                <w:lang w:eastAsia="en-US"/>
              </w:rPr>
              <w:t>Course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activity</w:t>
            </w:r>
            <w:proofErr w:type="spellEnd"/>
            <w:r w:rsidRPr="00337CBD">
              <w:rPr>
                <w:rFonts w:ascii="Garamond" w:eastAsia="MS Mincho" w:hAnsi="Garamond"/>
                <w:b w:val="0"/>
                <w:bCs w:val="0"/>
                <w:sz w:val="24"/>
                <w:szCs w:val="24"/>
                <w:lang w:eastAsia="en-US"/>
              </w:rPr>
              <w:t xml:space="preserve"> - </w:t>
            </w:r>
            <w:proofErr w:type="spellStart"/>
            <w:r w:rsidRPr="00337CBD">
              <w:rPr>
                <w:rFonts w:ascii="Garamond" w:eastAsia="MS Mincho" w:hAnsi="Garamond"/>
                <w:b w:val="0"/>
                <w:bCs w:val="0"/>
                <w:sz w:val="24"/>
                <w:szCs w:val="24"/>
                <w:lang w:eastAsia="en-US"/>
              </w:rPr>
              <w:t>inputs</w:t>
            </w:r>
            <w:proofErr w:type="spellEnd"/>
            <w:r w:rsidRPr="00337CBD">
              <w:rPr>
                <w:rFonts w:ascii="Garamond" w:eastAsia="MS Mincho" w:hAnsi="Garamond"/>
                <w:b w:val="0"/>
                <w:bCs w:val="0"/>
                <w:sz w:val="24"/>
                <w:szCs w:val="24"/>
                <w:lang w:eastAsia="en-US"/>
              </w:rPr>
              <w:t xml:space="preserve"> in </w:t>
            </w:r>
            <w:proofErr w:type="spellStart"/>
            <w:r w:rsidRPr="00337CBD">
              <w:rPr>
                <w:rFonts w:ascii="Garamond" w:eastAsia="MS Mincho" w:hAnsi="Garamond"/>
                <w:b w:val="0"/>
                <w:bCs w:val="0"/>
                <w:sz w:val="24"/>
                <w:szCs w:val="24"/>
                <w:lang w:eastAsia="en-US"/>
              </w:rPr>
              <w:t>class</w:t>
            </w:r>
            <w:proofErr w:type="spellEnd"/>
            <w:r w:rsidRPr="00337CBD">
              <w:rPr>
                <w:rFonts w:ascii="Garamond" w:eastAsia="MS Mincho" w:hAnsi="Garamond"/>
                <w:b w:val="0"/>
                <w:bCs w:val="0"/>
                <w:sz w:val="24"/>
                <w:szCs w:val="24"/>
                <w:lang w:eastAsia="en-US"/>
              </w:rPr>
              <w:t xml:space="preserve"> and </w:t>
            </w:r>
            <w:proofErr w:type="spellStart"/>
            <w:r w:rsidRPr="00337CBD">
              <w:rPr>
                <w:rFonts w:ascii="Garamond" w:eastAsia="MS Mincho" w:hAnsi="Garamond"/>
                <w:b w:val="0"/>
                <w:bCs w:val="0"/>
                <w:sz w:val="24"/>
                <w:szCs w:val="24"/>
                <w:lang w:eastAsia="en-US"/>
              </w:rPr>
              <w:t>to</w:t>
            </w:r>
            <w:proofErr w:type="spellEnd"/>
            <w:r w:rsidRPr="00337CBD">
              <w:rPr>
                <w:rFonts w:ascii="Garamond" w:eastAsia="MS Mincho" w:hAnsi="Garamond"/>
                <w:b w:val="0"/>
                <w:bCs w:val="0"/>
                <w:sz w:val="24"/>
                <w:szCs w:val="24"/>
                <w:lang w:eastAsia="en-US"/>
              </w:rPr>
              <w:t xml:space="preserve"> online </w:t>
            </w:r>
            <w:proofErr w:type="spellStart"/>
            <w:r w:rsidRPr="00337CBD">
              <w:rPr>
                <w:rFonts w:ascii="Garamond" w:eastAsia="MS Mincho" w:hAnsi="Garamond"/>
                <w:b w:val="0"/>
                <w:bCs w:val="0"/>
                <w:sz w:val="24"/>
                <w:szCs w:val="24"/>
                <w:lang w:eastAsia="en-US"/>
              </w:rPr>
              <w:t>discussions</w:t>
            </w:r>
            <w:proofErr w:type="spellEnd"/>
            <w:r w:rsidRPr="00337CBD">
              <w:rPr>
                <w:rFonts w:ascii="Garamond" w:eastAsia="MS Mincho" w:hAnsi="Garamond"/>
                <w:b w:val="0"/>
                <w:bCs w:val="0"/>
                <w:sz w:val="24"/>
                <w:szCs w:val="24"/>
                <w:lang w:eastAsia="en-US"/>
              </w:rPr>
              <w:t xml:space="preserve"> (20%)</w:t>
            </w:r>
          </w:p>
          <w:p w14:paraId="070B0D34" w14:textId="27EB7393" w:rsidR="006A78A1" w:rsidRPr="00337CBD" w:rsidRDefault="00337CBD" w:rsidP="00337CBD">
            <w:pPr>
              <w:pStyle w:val="Cmsor3"/>
              <w:shd w:val="clear" w:color="auto" w:fill="FFFFFF"/>
              <w:spacing w:before="0" w:beforeAutospacing="0" w:after="0" w:afterAutospacing="0"/>
              <w:jc w:val="both"/>
              <w:textAlignment w:val="baseline"/>
              <w:outlineLvl w:val="2"/>
              <w:rPr>
                <w:rFonts w:ascii="Garamond" w:eastAsia="MS Mincho" w:hAnsi="Garamond"/>
                <w:b w:val="0"/>
                <w:bCs w:val="0"/>
                <w:sz w:val="24"/>
                <w:szCs w:val="24"/>
                <w:lang w:eastAsia="en-US"/>
              </w:rPr>
            </w:pPr>
            <w:r w:rsidRPr="00337CBD">
              <w:rPr>
                <w:rFonts w:ascii="Garamond" w:eastAsia="MS Mincho" w:hAnsi="Garamond"/>
                <w:b w:val="0"/>
                <w:bCs w:val="0"/>
                <w:sz w:val="24"/>
                <w:szCs w:val="24"/>
                <w:lang w:eastAsia="en-US"/>
              </w:rPr>
              <w:t xml:space="preserve">In </w:t>
            </w:r>
            <w:proofErr w:type="spellStart"/>
            <w:r w:rsidRPr="00337CBD">
              <w:rPr>
                <w:rFonts w:ascii="Garamond" w:eastAsia="MS Mincho" w:hAnsi="Garamond"/>
                <w:b w:val="0"/>
                <w:bCs w:val="0"/>
                <w:sz w:val="24"/>
                <w:szCs w:val="24"/>
                <w:lang w:eastAsia="en-US"/>
              </w:rPr>
              <w:t>addition</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students</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may</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choose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to</w:t>
            </w:r>
            <w:proofErr w:type="spellEnd"/>
            <w:r w:rsidRPr="00337CBD">
              <w:rPr>
                <w:rFonts w:ascii="Garamond" w:eastAsia="MS Mincho" w:hAnsi="Garamond"/>
                <w:b w:val="0"/>
                <w:bCs w:val="0"/>
                <w:sz w:val="24"/>
                <w:szCs w:val="24"/>
                <w:lang w:eastAsia="en-US"/>
              </w:rPr>
              <w:t xml:space="preserve"> prepare a </w:t>
            </w:r>
            <w:proofErr w:type="spellStart"/>
            <w:r w:rsidRPr="00337CBD">
              <w:rPr>
                <w:rFonts w:ascii="Garamond" w:eastAsia="MS Mincho" w:hAnsi="Garamond"/>
                <w:b w:val="0"/>
                <w:bCs w:val="0"/>
                <w:sz w:val="24"/>
                <w:szCs w:val="24"/>
                <w:lang w:eastAsia="en-US"/>
              </w:rPr>
              <w:t>presentation</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on</w:t>
            </w:r>
            <w:proofErr w:type="spellEnd"/>
            <w:r w:rsidRPr="00337CBD">
              <w:rPr>
                <w:rFonts w:ascii="Garamond" w:eastAsia="MS Mincho" w:hAnsi="Garamond"/>
                <w:b w:val="0"/>
                <w:bCs w:val="0"/>
                <w:sz w:val="24"/>
                <w:szCs w:val="24"/>
                <w:lang w:eastAsia="en-US"/>
              </w:rPr>
              <w:t xml:space="preserve"> a </w:t>
            </w:r>
            <w:proofErr w:type="spellStart"/>
            <w:r w:rsidRPr="00337CBD">
              <w:rPr>
                <w:rFonts w:ascii="Garamond" w:eastAsia="MS Mincho" w:hAnsi="Garamond"/>
                <w:b w:val="0"/>
                <w:bCs w:val="0"/>
                <w:sz w:val="24"/>
                <w:szCs w:val="24"/>
                <w:lang w:eastAsia="en-US"/>
              </w:rPr>
              <w:t>specific</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field</w:t>
            </w:r>
            <w:proofErr w:type="spellEnd"/>
            <w:r w:rsidRPr="00337CBD">
              <w:rPr>
                <w:rFonts w:ascii="Garamond" w:eastAsia="MS Mincho" w:hAnsi="Garamond"/>
                <w:b w:val="0"/>
                <w:bCs w:val="0"/>
                <w:sz w:val="24"/>
                <w:szCs w:val="24"/>
                <w:lang w:eastAsia="en-US"/>
              </w:rPr>
              <w:br/>
            </w:r>
            <w:proofErr w:type="spellStart"/>
            <w:r w:rsidRPr="00337CBD">
              <w:rPr>
                <w:rFonts w:ascii="Garamond" w:eastAsia="MS Mincho" w:hAnsi="Garamond"/>
                <w:b w:val="0"/>
                <w:bCs w:val="0"/>
                <w:sz w:val="24"/>
                <w:szCs w:val="24"/>
                <w:lang w:eastAsia="en-US"/>
              </w:rPr>
              <w:t>connected</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to</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the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lectures</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during</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the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term</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which</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should</w:t>
            </w:r>
            <w:proofErr w:type="spellEnd"/>
            <w:r w:rsidRPr="00337CBD">
              <w:rPr>
                <w:rFonts w:ascii="Garamond" w:eastAsia="MS Mincho" w:hAnsi="Garamond"/>
                <w:b w:val="0"/>
                <w:bCs w:val="0"/>
                <w:sz w:val="24"/>
                <w:szCs w:val="24"/>
                <w:lang w:eastAsia="en-US"/>
              </w:rPr>
              <w:t xml:space="preserve"> be </w:t>
            </w:r>
            <w:proofErr w:type="spellStart"/>
            <w:r w:rsidRPr="00337CBD">
              <w:rPr>
                <w:rFonts w:ascii="Garamond" w:eastAsia="MS Mincho" w:hAnsi="Garamond"/>
                <w:b w:val="0"/>
                <w:bCs w:val="0"/>
                <w:sz w:val="24"/>
                <w:szCs w:val="24"/>
                <w:lang w:eastAsia="en-US"/>
              </w:rPr>
              <w:t>the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comparative</w:t>
            </w:r>
            <w:proofErr w:type="spellEnd"/>
            <w:r w:rsidRPr="00337CBD">
              <w:rPr>
                <w:rFonts w:ascii="Garamond" w:eastAsia="MS Mincho" w:hAnsi="Garamond"/>
                <w:b w:val="0"/>
                <w:bCs w:val="0"/>
                <w:sz w:val="24"/>
                <w:szCs w:val="24"/>
                <w:lang w:eastAsia="en-US"/>
              </w:rPr>
              <w:br/>
            </w:r>
            <w:proofErr w:type="spellStart"/>
            <w:r w:rsidRPr="00337CBD">
              <w:rPr>
                <w:rFonts w:ascii="Garamond" w:eastAsia="MS Mincho" w:hAnsi="Garamond"/>
                <w:b w:val="0"/>
                <w:bCs w:val="0"/>
                <w:sz w:val="24"/>
                <w:szCs w:val="24"/>
                <w:lang w:eastAsia="en-US"/>
              </w:rPr>
              <w:t>analysis</w:t>
            </w:r>
            <w:proofErr w:type="spellEnd"/>
            <w:r w:rsidRPr="00337CBD">
              <w:rPr>
                <w:rFonts w:ascii="Garamond" w:eastAsia="MS Mincho" w:hAnsi="Garamond"/>
                <w:b w:val="0"/>
                <w:bCs w:val="0"/>
                <w:sz w:val="24"/>
                <w:szCs w:val="24"/>
                <w:lang w:eastAsia="en-US"/>
              </w:rPr>
              <w:t xml:space="preserve"> of </w:t>
            </w:r>
            <w:proofErr w:type="spellStart"/>
            <w:r w:rsidRPr="00337CBD">
              <w:rPr>
                <w:rFonts w:ascii="Garamond" w:eastAsia="MS Mincho" w:hAnsi="Garamond"/>
                <w:b w:val="0"/>
                <w:bCs w:val="0"/>
                <w:sz w:val="24"/>
                <w:szCs w:val="24"/>
                <w:lang w:eastAsia="en-US"/>
              </w:rPr>
              <w:t>one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question</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tackled</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by</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the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course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concerning</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the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student’s</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native</w:t>
            </w:r>
            <w:proofErr w:type="spellEnd"/>
            <w:r w:rsidRPr="00337CBD">
              <w:rPr>
                <w:rFonts w:ascii="Garamond" w:eastAsia="MS Mincho" w:hAnsi="Garamond"/>
                <w:b w:val="0"/>
                <w:bCs w:val="0"/>
                <w:sz w:val="24"/>
                <w:szCs w:val="24"/>
                <w:lang w:eastAsia="en-US"/>
              </w:rPr>
              <w:br/>
            </w:r>
            <w:proofErr w:type="spellStart"/>
            <w:r w:rsidRPr="00337CBD">
              <w:rPr>
                <w:rFonts w:ascii="Garamond" w:eastAsia="MS Mincho" w:hAnsi="Garamond"/>
                <w:b w:val="0"/>
                <w:bCs w:val="0"/>
                <w:sz w:val="24"/>
                <w:szCs w:val="24"/>
                <w:lang w:eastAsia="en-US"/>
              </w:rPr>
              <w:t>administrative</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jurisdiction</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or</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judicial</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administration</w:t>
            </w:r>
            <w:proofErr w:type="spellEnd"/>
            <w:r w:rsidRPr="00337CBD">
              <w:rPr>
                <w:rFonts w:ascii="Garamond" w:eastAsia="MS Mincho" w:hAnsi="Garamond"/>
                <w:b w:val="0"/>
                <w:bCs w:val="0"/>
                <w:sz w:val="24"/>
                <w:szCs w:val="24"/>
                <w:lang w:eastAsia="en-US"/>
              </w:rPr>
              <w:t xml:space="preserve">. The </w:t>
            </w:r>
            <w:proofErr w:type="spellStart"/>
            <w:r w:rsidRPr="00337CBD">
              <w:rPr>
                <w:rFonts w:ascii="Garamond" w:eastAsia="MS Mincho" w:hAnsi="Garamond"/>
                <w:b w:val="0"/>
                <w:bCs w:val="0"/>
                <w:sz w:val="24"/>
                <w:szCs w:val="24"/>
                <w:lang w:eastAsia="en-US"/>
              </w:rPr>
              <w:t>presentation</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should</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not</w:t>
            </w:r>
            <w:proofErr w:type="spellEnd"/>
            <w:r w:rsidRPr="00337CBD">
              <w:rPr>
                <w:rFonts w:ascii="Garamond" w:eastAsia="MS Mincho" w:hAnsi="Garamond"/>
                <w:b w:val="0"/>
                <w:bCs w:val="0"/>
                <w:sz w:val="24"/>
                <w:szCs w:val="24"/>
                <w:lang w:eastAsia="en-US"/>
              </w:rPr>
              <w:br/>
            </w:r>
            <w:proofErr w:type="spellStart"/>
            <w:r w:rsidRPr="00337CBD">
              <w:rPr>
                <w:rFonts w:ascii="Garamond" w:eastAsia="MS Mincho" w:hAnsi="Garamond"/>
                <w:b w:val="0"/>
                <w:bCs w:val="0"/>
                <w:sz w:val="24"/>
                <w:szCs w:val="24"/>
                <w:lang w:eastAsia="en-US"/>
              </w:rPr>
              <w:t>exceed</w:t>
            </w:r>
            <w:proofErr w:type="spellEnd"/>
            <w:r w:rsidRPr="00337CBD">
              <w:rPr>
                <w:rFonts w:ascii="Garamond" w:eastAsia="MS Mincho" w:hAnsi="Garamond"/>
                <w:b w:val="0"/>
                <w:bCs w:val="0"/>
                <w:sz w:val="24"/>
                <w:szCs w:val="24"/>
                <w:lang w:eastAsia="en-US"/>
              </w:rPr>
              <w:t xml:space="preserve"> 12 </w:t>
            </w:r>
            <w:proofErr w:type="spellStart"/>
            <w:r w:rsidRPr="00337CBD">
              <w:rPr>
                <w:rFonts w:ascii="Garamond" w:eastAsia="MS Mincho" w:hAnsi="Garamond"/>
                <w:b w:val="0"/>
                <w:bCs w:val="0"/>
                <w:sz w:val="24"/>
                <w:szCs w:val="24"/>
                <w:lang w:eastAsia="en-US"/>
              </w:rPr>
              <w:t>slides</w:t>
            </w:r>
            <w:proofErr w:type="spellEnd"/>
            <w:r w:rsidRPr="00337CBD">
              <w:rPr>
                <w:rFonts w:ascii="Garamond" w:eastAsia="MS Mincho" w:hAnsi="Garamond"/>
                <w:b w:val="0"/>
                <w:bCs w:val="0"/>
                <w:sz w:val="24"/>
                <w:szCs w:val="24"/>
                <w:lang w:eastAsia="en-US"/>
              </w:rPr>
              <w:t xml:space="preserve">/ 15 </w:t>
            </w:r>
            <w:proofErr w:type="spellStart"/>
            <w:r w:rsidRPr="00337CBD">
              <w:rPr>
                <w:rFonts w:ascii="Garamond" w:eastAsia="MS Mincho" w:hAnsi="Garamond"/>
                <w:b w:val="0"/>
                <w:bCs w:val="0"/>
                <w:sz w:val="24"/>
                <w:szCs w:val="24"/>
                <w:lang w:eastAsia="en-US"/>
              </w:rPr>
              <w:t>minutes</w:t>
            </w:r>
            <w:proofErr w:type="spellEnd"/>
            <w:r w:rsidRPr="00337CBD">
              <w:rPr>
                <w:rFonts w:ascii="Garamond" w:eastAsia="MS Mincho" w:hAnsi="Garamond"/>
                <w:b w:val="0"/>
                <w:bCs w:val="0"/>
                <w:sz w:val="24"/>
                <w:szCs w:val="24"/>
                <w:lang w:eastAsia="en-US"/>
              </w:rPr>
              <w:t xml:space="preserve">, and </w:t>
            </w:r>
            <w:proofErr w:type="spellStart"/>
            <w:r w:rsidRPr="00337CBD">
              <w:rPr>
                <w:rFonts w:ascii="Garamond" w:eastAsia="MS Mincho" w:hAnsi="Garamond"/>
                <w:b w:val="0"/>
                <w:bCs w:val="0"/>
                <w:sz w:val="24"/>
                <w:szCs w:val="24"/>
                <w:lang w:eastAsia="en-US"/>
              </w:rPr>
              <w:t>preferably</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should</w:t>
            </w:r>
            <w:proofErr w:type="spellEnd"/>
            <w:r w:rsidRPr="00337CBD">
              <w:rPr>
                <w:rFonts w:ascii="Garamond" w:eastAsia="MS Mincho" w:hAnsi="Garamond"/>
                <w:b w:val="0"/>
                <w:bCs w:val="0"/>
                <w:sz w:val="24"/>
                <w:szCs w:val="24"/>
                <w:lang w:eastAsia="en-US"/>
              </w:rPr>
              <w:t xml:space="preserve"> be </w:t>
            </w:r>
            <w:proofErr w:type="spellStart"/>
            <w:r w:rsidRPr="00337CBD">
              <w:rPr>
                <w:rFonts w:ascii="Garamond" w:eastAsia="MS Mincho" w:hAnsi="Garamond"/>
                <w:b w:val="0"/>
                <w:bCs w:val="0"/>
                <w:sz w:val="24"/>
                <w:szCs w:val="24"/>
                <w:lang w:eastAsia="en-US"/>
              </w:rPr>
              <w:t>recorded</w:t>
            </w:r>
            <w:proofErr w:type="spellEnd"/>
            <w:r w:rsidRPr="00337CBD">
              <w:rPr>
                <w:rFonts w:ascii="Garamond" w:eastAsia="MS Mincho" w:hAnsi="Garamond"/>
                <w:b w:val="0"/>
                <w:bCs w:val="0"/>
                <w:sz w:val="24"/>
                <w:szCs w:val="24"/>
                <w:lang w:eastAsia="en-US"/>
              </w:rPr>
              <w:t xml:space="preserve"> </w:t>
            </w:r>
            <w:proofErr w:type="spellStart"/>
            <w:r w:rsidRPr="00337CBD">
              <w:rPr>
                <w:rFonts w:ascii="Garamond" w:eastAsia="MS Mincho" w:hAnsi="Garamond"/>
                <w:b w:val="0"/>
                <w:bCs w:val="0"/>
                <w:sz w:val="24"/>
                <w:szCs w:val="24"/>
                <w:lang w:eastAsia="en-US"/>
              </w:rPr>
              <w:t>as</w:t>
            </w:r>
            <w:proofErr w:type="spellEnd"/>
            <w:r w:rsidRPr="00337CBD">
              <w:rPr>
                <w:rFonts w:ascii="Garamond" w:eastAsia="MS Mincho" w:hAnsi="Garamond"/>
                <w:b w:val="0"/>
                <w:bCs w:val="0"/>
                <w:sz w:val="24"/>
                <w:szCs w:val="24"/>
                <w:lang w:eastAsia="en-US"/>
              </w:rPr>
              <w:t xml:space="preserve"> an mp4 file. (+</w:t>
            </w:r>
            <w:proofErr w:type="spellStart"/>
            <w:r w:rsidRPr="00337CBD">
              <w:rPr>
                <w:rFonts w:ascii="Garamond" w:eastAsia="MS Mincho" w:hAnsi="Garamond"/>
                <w:b w:val="0"/>
                <w:bCs w:val="0"/>
                <w:sz w:val="24"/>
                <w:szCs w:val="24"/>
                <w:lang w:eastAsia="en-US"/>
              </w:rPr>
              <w:t>max</w:t>
            </w:r>
            <w:proofErr w:type="spellEnd"/>
            <w:r w:rsidRPr="00337CBD">
              <w:rPr>
                <w:rFonts w:ascii="Garamond" w:eastAsia="MS Mincho" w:hAnsi="Garamond"/>
                <w:b w:val="0"/>
                <w:bCs w:val="0"/>
                <w:sz w:val="24"/>
                <w:szCs w:val="24"/>
                <w:lang w:eastAsia="en-US"/>
              </w:rPr>
              <w:t xml:space="preserve"> 30%)</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5A7D6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A4FC" w14:textId="77777777" w:rsidR="00A6780B" w:rsidRDefault="00A6780B" w:rsidP="006A3E9F">
      <w:pPr>
        <w:spacing w:after="0" w:line="240" w:lineRule="auto"/>
      </w:pPr>
      <w:r>
        <w:separator/>
      </w:r>
    </w:p>
  </w:endnote>
  <w:endnote w:type="continuationSeparator" w:id="0">
    <w:p w14:paraId="452F29FA" w14:textId="77777777" w:rsidR="00A6780B" w:rsidRDefault="00A6780B"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axlinePro-Medium">
    <w:altName w:val="DaxlinePro-Medium"/>
    <w:panose1 w:val="00000000000000000000"/>
    <w:charset w:val="00"/>
    <w:family w:val="swiss"/>
    <w:notTrueType/>
    <w:pitch w:val="default"/>
    <w:sig w:usb0="00000003" w:usb1="00000000" w:usb2="00000000" w:usb3="00000000" w:csb0="00000001" w:csb1="00000000"/>
  </w:font>
  <w:font w:name="MyriadPro-LightCond">
    <w:altName w:val="Calibri"/>
    <w:panose1 w:val="00000000000000000000"/>
    <w:charset w:val="00"/>
    <w:family w:val="swiss"/>
    <w:notTrueType/>
    <w:pitch w:val="default"/>
    <w:sig w:usb0="00000003" w:usb1="00000000" w:usb2="00000000" w:usb3="00000000" w:csb0="00000001" w:csb1="00000000"/>
  </w:font>
  <w:font w:name="MyriadPro-Con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7122" w14:textId="77777777" w:rsidR="005A7D63" w:rsidRDefault="005A7D6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5EC9" w14:textId="77777777" w:rsidR="005A7D63" w:rsidRDefault="005A7D6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205E" w14:textId="77777777" w:rsidR="005A7D63" w:rsidRDefault="005A7D6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40F7" w14:textId="77777777" w:rsidR="00A6780B" w:rsidRDefault="00A6780B" w:rsidP="006A3E9F">
      <w:pPr>
        <w:spacing w:after="0" w:line="240" w:lineRule="auto"/>
      </w:pPr>
      <w:r>
        <w:separator/>
      </w:r>
    </w:p>
  </w:footnote>
  <w:footnote w:type="continuationSeparator" w:id="0">
    <w:p w14:paraId="01CB09D4" w14:textId="77777777" w:rsidR="00A6780B" w:rsidRDefault="00A6780B"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9144" w14:textId="77777777" w:rsidR="005A7D63" w:rsidRDefault="005A7D6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D4D0" w14:textId="5BB1B5C7" w:rsidR="006A3E9F" w:rsidRDefault="006A3E9F" w:rsidP="0026453B">
    <w:pPr>
      <w:pStyle w:val="lfej"/>
      <w:tabs>
        <w:tab w:val="left" w:pos="666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E480" w14:textId="4B9786C2" w:rsidR="005A7D63" w:rsidRDefault="005A7D63">
    <w:pPr>
      <w:pStyle w:val="lfej"/>
    </w:pPr>
    <w:r>
      <w:rPr>
        <w:noProof/>
        <w:lang w:eastAsia="hu-HU"/>
      </w:rPr>
      <w:drawing>
        <wp:anchor distT="0" distB="0" distL="114300" distR="114300" simplePos="0" relativeHeight="251659264" behindDoc="1" locked="0" layoutInCell="1" allowOverlap="1" wp14:anchorId="0F1996CC" wp14:editId="591790EF">
          <wp:simplePos x="0" y="0"/>
          <wp:positionH relativeFrom="column">
            <wp:posOffset>-374015</wp:posOffset>
          </wp:positionH>
          <wp:positionV relativeFrom="paragraph">
            <wp:posOffset>-101314</wp:posOffset>
          </wp:positionV>
          <wp:extent cx="3284220" cy="891146"/>
          <wp:effectExtent l="0" t="0" r="0" b="4445"/>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303581" cy="8963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2695F66"/>
    <w:multiLevelType w:val="hybridMultilevel"/>
    <w:tmpl w:val="9B5C8A92"/>
    <w:lvl w:ilvl="0" w:tplc="2EBC5EC8">
      <w:numFmt w:val="bullet"/>
      <w:lvlText w:val="-"/>
      <w:lvlJc w:val="left"/>
      <w:pPr>
        <w:ind w:left="720" w:hanging="360"/>
      </w:pPr>
      <w:rPr>
        <w:rFonts w:ascii="Garamond" w:eastAsia="MS Mincho"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F533DB2"/>
    <w:multiLevelType w:val="hybridMultilevel"/>
    <w:tmpl w:val="19787C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61567707">
    <w:abstractNumId w:val="9"/>
  </w:num>
  <w:num w:numId="2" w16cid:durableId="1543595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470713">
    <w:abstractNumId w:val="2"/>
  </w:num>
  <w:num w:numId="4" w16cid:durableId="105975675">
    <w:abstractNumId w:val="0"/>
  </w:num>
  <w:num w:numId="5" w16cid:durableId="754127379">
    <w:abstractNumId w:val="3"/>
  </w:num>
  <w:num w:numId="6" w16cid:durableId="1289896399">
    <w:abstractNumId w:val="1"/>
  </w:num>
  <w:num w:numId="7" w16cid:durableId="2010136352">
    <w:abstractNumId w:val="8"/>
  </w:num>
  <w:num w:numId="8" w16cid:durableId="533495074">
    <w:abstractNumId w:val="5"/>
  </w:num>
  <w:num w:numId="9" w16cid:durableId="658264835">
    <w:abstractNumId w:val="6"/>
  </w:num>
  <w:num w:numId="10" w16cid:durableId="1355614057">
    <w:abstractNumId w:val="7"/>
  </w:num>
  <w:num w:numId="11" w16cid:durableId="228543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04"/>
    <w:rsid w:val="00031F56"/>
    <w:rsid w:val="0008349D"/>
    <w:rsid w:val="000A54A2"/>
    <w:rsid w:val="000B1D44"/>
    <w:rsid w:val="000E6630"/>
    <w:rsid w:val="000F73E0"/>
    <w:rsid w:val="001078D9"/>
    <w:rsid w:val="00122B14"/>
    <w:rsid w:val="001241F1"/>
    <w:rsid w:val="0013685C"/>
    <w:rsid w:val="0013715B"/>
    <w:rsid w:val="00154A91"/>
    <w:rsid w:val="00161D20"/>
    <w:rsid w:val="00177C40"/>
    <w:rsid w:val="001B3B3C"/>
    <w:rsid w:val="001C3C1E"/>
    <w:rsid w:val="001E28A9"/>
    <w:rsid w:val="002105B1"/>
    <w:rsid w:val="00214377"/>
    <w:rsid w:val="0026453B"/>
    <w:rsid w:val="00275162"/>
    <w:rsid w:val="002935C8"/>
    <w:rsid w:val="002A7467"/>
    <w:rsid w:val="002B2437"/>
    <w:rsid w:val="002C5780"/>
    <w:rsid w:val="002D4CE3"/>
    <w:rsid w:val="002E42AF"/>
    <w:rsid w:val="002F4EDE"/>
    <w:rsid w:val="00314EEA"/>
    <w:rsid w:val="00326BDD"/>
    <w:rsid w:val="00337CBD"/>
    <w:rsid w:val="00347A6B"/>
    <w:rsid w:val="00375825"/>
    <w:rsid w:val="003D6FD0"/>
    <w:rsid w:val="004459A6"/>
    <w:rsid w:val="00446D27"/>
    <w:rsid w:val="00462CEF"/>
    <w:rsid w:val="00464EDA"/>
    <w:rsid w:val="00465217"/>
    <w:rsid w:val="0047089D"/>
    <w:rsid w:val="004C29A2"/>
    <w:rsid w:val="004C71B7"/>
    <w:rsid w:val="004E18B0"/>
    <w:rsid w:val="004E509C"/>
    <w:rsid w:val="0050020B"/>
    <w:rsid w:val="005122B1"/>
    <w:rsid w:val="005155A0"/>
    <w:rsid w:val="00521DF0"/>
    <w:rsid w:val="00541E1A"/>
    <w:rsid w:val="00556081"/>
    <w:rsid w:val="00575FBE"/>
    <w:rsid w:val="005A64D8"/>
    <w:rsid w:val="005A7D63"/>
    <w:rsid w:val="00622A32"/>
    <w:rsid w:val="006326C5"/>
    <w:rsid w:val="00660BBE"/>
    <w:rsid w:val="006779DF"/>
    <w:rsid w:val="006A00EE"/>
    <w:rsid w:val="006A370D"/>
    <w:rsid w:val="006A3E9F"/>
    <w:rsid w:val="006A78A1"/>
    <w:rsid w:val="006B063C"/>
    <w:rsid w:val="006B41A4"/>
    <w:rsid w:val="0070193A"/>
    <w:rsid w:val="00707BB3"/>
    <w:rsid w:val="00713BA6"/>
    <w:rsid w:val="007258B7"/>
    <w:rsid w:val="007317AD"/>
    <w:rsid w:val="00734076"/>
    <w:rsid w:val="00740F2E"/>
    <w:rsid w:val="007471D0"/>
    <w:rsid w:val="007563EA"/>
    <w:rsid w:val="0077573E"/>
    <w:rsid w:val="00794C2C"/>
    <w:rsid w:val="007A40F6"/>
    <w:rsid w:val="007A4D5A"/>
    <w:rsid w:val="007C4AA8"/>
    <w:rsid w:val="00802307"/>
    <w:rsid w:val="0082520E"/>
    <w:rsid w:val="008759F5"/>
    <w:rsid w:val="008B251A"/>
    <w:rsid w:val="008C6F6E"/>
    <w:rsid w:val="008D70B6"/>
    <w:rsid w:val="008E206F"/>
    <w:rsid w:val="008E334E"/>
    <w:rsid w:val="008E77A2"/>
    <w:rsid w:val="008F4789"/>
    <w:rsid w:val="00907F12"/>
    <w:rsid w:val="0091063F"/>
    <w:rsid w:val="0093128C"/>
    <w:rsid w:val="00942596"/>
    <w:rsid w:val="00957CD4"/>
    <w:rsid w:val="00970042"/>
    <w:rsid w:val="00987F31"/>
    <w:rsid w:val="009A2832"/>
    <w:rsid w:val="009A40E7"/>
    <w:rsid w:val="00A054C2"/>
    <w:rsid w:val="00A24E3E"/>
    <w:rsid w:val="00A34386"/>
    <w:rsid w:val="00A40DF6"/>
    <w:rsid w:val="00A66710"/>
    <w:rsid w:val="00A6780B"/>
    <w:rsid w:val="00A855B2"/>
    <w:rsid w:val="00A952FB"/>
    <w:rsid w:val="00AF30BB"/>
    <w:rsid w:val="00AF6735"/>
    <w:rsid w:val="00B1106A"/>
    <w:rsid w:val="00B45AFA"/>
    <w:rsid w:val="00B5054D"/>
    <w:rsid w:val="00B6676D"/>
    <w:rsid w:val="00B9260F"/>
    <w:rsid w:val="00BA3AB1"/>
    <w:rsid w:val="00BA6A21"/>
    <w:rsid w:val="00C0165F"/>
    <w:rsid w:val="00C0178E"/>
    <w:rsid w:val="00C17BC8"/>
    <w:rsid w:val="00C242CB"/>
    <w:rsid w:val="00C37386"/>
    <w:rsid w:val="00C46A7C"/>
    <w:rsid w:val="00C6762B"/>
    <w:rsid w:val="00C8090E"/>
    <w:rsid w:val="00C8602E"/>
    <w:rsid w:val="00C87558"/>
    <w:rsid w:val="00C94228"/>
    <w:rsid w:val="00CA0C3F"/>
    <w:rsid w:val="00CB57FC"/>
    <w:rsid w:val="00CC4C2A"/>
    <w:rsid w:val="00CC5E52"/>
    <w:rsid w:val="00CF4A2A"/>
    <w:rsid w:val="00CF6C52"/>
    <w:rsid w:val="00D04F62"/>
    <w:rsid w:val="00D22F10"/>
    <w:rsid w:val="00D23617"/>
    <w:rsid w:val="00D33DDE"/>
    <w:rsid w:val="00D56591"/>
    <w:rsid w:val="00DA041C"/>
    <w:rsid w:val="00DA3812"/>
    <w:rsid w:val="00DB5728"/>
    <w:rsid w:val="00DF137E"/>
    <w:rsid w:val="00DF6828"/>
    <w:rsid w:val="00E0037E"/>
    <w:rsid w:val="00E10AFD"/>
    <w:rsid w:val="00E50966"/>
    <w:rsid w:val="00E90C54"/>
    <w:rsid w:val="00ED29E0"/>
    <w:rsid w:val="00F13D45"/>
    <w:rsid w:val="00F41B04"/>
    <w:rsid w:val="00F56500"/>
    <w:rsid w:val="00F65908"/>
    <w:rsid w:val="00F864F7"/>
    <w:rsid w:val="00F91CB8"/>
    <w:rsid w:val="00F93DFE"/>
    <w:rsid w:val="00FB4D21"/>
    <w:rsid w:val="00FB4D28"/>
    <w:rsid w:val="00FC377D"/>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260F"/>
  </w:style>
  <w:style w:type="paragraph" w:styleId="Cmsor1">
    <w:name w:val="heading 1"/>
    <w:basedOn w:val="Norml"/>
    <w:next w:val="Norml"/>
    <w:link w:val="Cmsor1Char"/>
    <w:uiPriority w:val="9"/>
    <w:qFormat/>
    <w:rsid w:val="001078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107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link w:val="Cmsor3Char"/>
    <w:uiPriority w:val="9"/>
    <w:qFormat/>
    <w:rsid w:val="000F73E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set">
    <w:name w:val="lábj. eset"/>
    <w:basedOn w:val="Lbjegyzetszveg"/>
    <w:link w:val="lbjesetChar"/>
    <w:autoRedefine/>
    <w:qFormat/>
    <w:rsid w:val="001E28A9"/>
    <w:pPr>
      <w:ind w:firstLine="238"/>
      <w:jc w:val="both"/>
      <w:textAlignment w:val="top"/>
    </w:pPr>
    <w:rPr>
      <w:rFonts w:eastAsia="Times New Roman" w:cs="Times New Roman"/>
      <w:i/>
      <w:iCs/>
      <w:lang w:eastAsia="hu-HU"/>
    </w:rPr>
  </w:style>
  <w:style w:type="paragraph" w:customStyle="1" w:styleId="lbjesetadatok">
    <w:name w:val="lábj. esetadatok"/>
    <w:basedOn w:val="Lbjegyzetszveg"/>
    <w:link w:val="lbjesetadatokChar"/>
    <w:qFormat/>
    <w:rsid w:val="001E28A9"/>
    <w:pPr>
      <w:ind w:firstLine="238"/>
      <w:jc w:val="both"/>
      <w:textAlignment w:val="top"/>
    </w:pPr>
    <w:rPr>
      <w:rFonts w:ascii="Times New Roman" w:eastAsia="Times New Roman" w:hAnsi="Times New Roman" w:cs="Times New Roman"/>
      <w:lang w:eastAsia="hu-HU"/>
    </w:rPr>
  </w:style>
  <w:style w:type="character" w:customStyle="1" w:styleId="lbjesetChar">
    <w:name w:val="lábj. eset Char"/>
    <w:basedOn w:val="Bekezdsalapbettpusa"/>
    <w:link w:val="lbjeset"/>
    <w:rsid w:val="001E28A9"/>
    <w:rPr>
      <w:rFonts w:eastAsia="Times New Roman" w:cs="Times New Roman"/>
      <w:i/>
      <w:iCs/>
      <w:sz w:val="20"/>
      <w:szCs w:val="20"/>
      <w:lang w:eastAsia="hu-HU"/>
    </w:rPr>
  </w:style>
  <w:style w:type="character" w:customStyle="1" w:styleId="lbjesetadatokChar">
    <w:name w:val="lábj. esetadatok Char"/>
    <w:basedOn w:val="Bekezdsalapbettpusa"/>
    <w:link w:val="lbjesetadatok"/>
    <w:rsid w:val="001E28A9"/>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unhideWhenUsed/>
    <w:rsid w:val="001E28A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E28A9"/>
    <w:rPr>
      <w:sz w:val="20"/>
      <w:szCs w:val="20"/>
    </w:rPr>
  </w:style>
  <w:style w:type="character" w:styleId="Feloldatlanmegemlts">
    <w:name w:val="Unresolved Mention"/>
    <w:basedOn w:val="Bekezdsalapbettpusa"/>
    <w:uiPriority w:val="99"/>
    <w:semiHidden/>
    <w:unhideWhenUsed/>
    <w:rsid w:val="001E28A9"/>
    <w:rPr>
      <w:color w:val="605E5C"/>
      <w:shd w:val="clear" w:color="auto" w:fill="E1DFDD"/>
    </w:rPr>
  </w:style>
  <w:style w:type="character" w:customStyle="1" w:styleId="Cmsor3Char">
    <w:name w:val="Címsor 3 Char"/>
    <w:basedOn w:val="Bekezdsalapbettpusa"/>
    <w:link w:val="Cmsor3"/>
    <w:uiPriority w:val="9"/>
    <w:rsid w:val="000F73E0"/>
    <w:rPr>
      <w:rFonts w:ascii="Times New Roman" w:eastAsia="Times New Roman" w:hAnsi="Times New Roman" w:cs="Times New Roman"/>
      <w:b/>
      <w:bCs/>
      <w:sz w:val="27"/>
      <w:szCs w:val="27"/>
      <w:lang w:eastAsia="hu-HU"/>
    </w:rPr>
  </w:style>
  <w:style w:type="paragraph" w:customStyle="1" w:styleId="author-name">
    <w:name w:val="author-name"/>
    <w:basedOn w:val="Norml"/>
    <w:rsid w:val="000F73E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0F73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1078D9"/>
    <w:rPr>
      <w:i/>
      <w:iCs/>
    </w:rPr>
  </w:style>
  <w:style w:type="character" w:customStyle="1" w:styleId="A6">
    <w:name w:val="A6"/>
    <w:uiPriority w:val="99"/>
    <w:rsid w:val="001078D9"/>
    <w:rPr>
      <w:rFonts w:cs="DaxlinePro-Medium"/>
      <w:color w:val="000000"/>
      <w:sz w:val="40"/>
      <w:szCs w:val="40"/>
    </w:rPr>
  </w:style>
  <w:style w:type="character" w:customStyle="1" w:styleId="Cmsor1Char">
    <w:name w:val="Címsor 1 Char"/>
    <w:basedOn w:val="Bekezdsalapbettpusa"/>
    <w:link w:val="Cmsor1"/>
    <w:uiPriority w:val="9"/>
    <w:rsid w:val="001078D9"/>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1078D9"/>
    <w:rPr>
      <w:rFonts w:asciiTheme="majorHAnsi" w:eastAsiaTheme="majorEastAsia" w:hAnsiTheme="majorHAnsi" w:cstheme="majorBidi"/>
      <w:color w:val="2E74B5" w:themeColor="accent1" w:themeShade="BF"/>
      <w:sz w:val="26"/>
      <w:szCs w:val="26"/>
    </w:rPr>
  </w:style>
  <w:style w:type="character" w:styleId="Kiemels2">
    <w:name w:val="Strong"/>
    <w:basedOn w:val="Bekezdsalapbettpusa"/>
    <w:uiPriority w:val="22"/>
    <w:qFormat/>
    <w:rsid w:val="00107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320">
      <w:bodyDiv w:val="1"/>
      <w:marLeft w:val="0"/>
      <w:marRight w:val="0"/>
      <w:marTop w:val="0"/>
      <w:marBottom w:val="0"/>
      <w:divBdr>
        <w:top w:val="none" w:sz="0" w:space="0" w:color="auto"/>
        <w:left w:val="none" w:sz="0" w:space="0" w:color="auto"/>
        <w:bottom w:val="none" w:sz="0" w:space="0" w:color="auto"/>
        <w:right w:val="none" w:sz="0" w:space="0" w:color="auto"/>
      </w:divBdr>
      <w:divsChild>
        <w:div w:id="332804964">
          <w:marLeft w:val="0"/>
          <w:marRight w:val="0"/>
          <w:marTop w:val="0"/>
          <w:marBottom w:val="0"/>
          <w:divBdr>
            <w:top w:val="none" w:sz="0" w:space="0" w:color="auto"/>
            <w:left w:val="none" w:sz="0" w:space="0" w:color="auto"/>
            <w:bottom w:val="none" w:sz="0" w:space="0" w:color="auto"/>
            <w:right w:val="none" w:sz="0" w:space="0" w:color="auto"/>
          </w:divBdr>
        </w:div>
      </w:divsChild>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16502670">
      <w:bodyDiv w:val="1"/>
      <w:marLeft w:val="0"/>
      <w:marRight w:val="0"/>
      <w:marTop w:val="0"/>
      <w:marBottom w:val="0"/>
      <w:divBdr>
        <w:top w:val="none" w:sz="0" w:space="0" w:color="auto"/>
        <w:left w:val="none" w:sz="0" w:space="0" w:color="auto"/>
        <w:bottom w:val="none" w:sz="0" w:space="0" w:color="auto"/>
        <w:right w:val="none" w:sz="0" w:space="0" w:color="auto"/>
      </w:divBdr>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161047201">
      <w:bodyDiv w:val="1"/>
      <w:marLeft w:val="0"/>
      <w:marRight w:val="0"/>
      <w:marTop w:val="0"/>
      <w:marBottom w:val="0"/>
      <w:divBdr>
        <w:top w:val="none" w:sz="0" w:space="0" w:color="auto"/>
        <w:left w:val="none" w:sz="0" w:space="0" w:color="auto"/>
        <w:bottom w:val="none" w:sz="0" w:space="0" w:color="auto"/>
        <w:right w:val="none" w:sz="0" w:space="0" w:color="auto"/>
      </w:divBdr>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684504101">
      <w:bodyDiv w:val="1"/>
      <w:marLeft w:val="0"/>
      <w:marRight w:val="0"/>
      <w:marTop w:val="0"/>
      <w:marBottom w:val="0"/>
      <w:divBdr>
        <w:top w:val="none" w:sz="0" w:space="0" w:color="auto"/>
        <w:left w:val="none" w:sz="0" w:space="0" w:color="auto"/>
        <w:bottom w:val="none" w:sz="0" w:space="0" w:color="auto"/>
        <w:right w:val="none" w:sz="0" w:space="0" w:color="auto"/>
      </w:divBdr>
    </w:div>
    <w:div w:id="1712221029">
      <w:bodyDiv w:val="1"/>
      <w:marLeft w:val="0"/>
      <w:marRight w:val="0"/>
      <w:marTop w:val="0"/>
      <w:marBottom w:val="0"/>
      <w:divBdr>
        <w:top w:val="none" w:sz="0" w:space="0" w:color="auto"/>
        <w:left w:val="none" w:sz="0" w:space="0" w:color="auto"/>
        <w:bottom w:val="none" w:sz="0" w:space="0" w:color="auto"/>
        <w:right w:val="none" w:sz="0" w:space="0" w:color="auto"/>
      </w:divBdr>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2016/handbook-european-law-relating-access-just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7176/20201110-20005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ltelawjournal.hu/administration-administrative-jurisdiction-and-separation-of-pow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telawjournal.hu/author/eltejog10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BD5A-037F-41E2-95DE-3F10F935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643</Words>
  <Characters>4443</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Rozsnyai Krisztina</cp:lastModifiedBy>
  <cp:revision>12</cp:revision>
  <dcterms:created xsi:type="dcterms:W3CDTF">2021-05-11T18:03:00Z</dcterms:created>
  <dcterms:modified xsi:type="dcterms:W3CDTF">2022-09-02T02:30:00Z</dcterms:modified>
</cp:coreProperties>
</file>