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07" w:rsidRPr="00DE3B07" w:rsidRDefault="00DE3B07" w:rsidP="00DE3B0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E3B07">
        <w:rPr>
          <w:b/>
          <w:sz w:val="28"/>
          <w:szCs w:val="28"/>
          <w:u w:val="single"/>
        </w:rPr>
        <w:t>International and European personal data protection law</w:t>
      </w:r>
    </w:p>
    <w:p w:rsidR="00DE3B07" w:rsidRDefault="00DE3B07" w:rsidP="00DE3B07">
      <w:pPr>
        <w:spacing w:line="360" w:lineRule="auto"/>
        <w:rPr>
          <w:rFonts w:ascii="Arial" w:hAnsi="Arial" w:cs="Arial"/>
          <w:sz w:val="20"/>
          <w:szCs w:val="20"/>
        </w:rPr>
      </w:pPr>
    </w:p>
    <w:p w:rsidR="00DE3B07" w:rsidRDefault="00DE3B07" w:rsidP="00DE3B07">
      <w:pPr>
        <w:spacing w:line="360" w:lineRule="auto"/>
        <w:rPr>
          <w:rFonts w:ascii="Arial" w:hAnsi="Arial" w:cs="Arial"/>
          <w:sz w:val="20"/>
          <w:szCs w:val="20"/>
        </w:rPr>
      </w:pPr>
    </w:p>
    <w:p w:rsidR="00DE3B07" w:rsidRDefault="00DE3B07" w:rsidP="00DE3B07">
      <w:pPr>
        <w:spacing w:line="360" w:lineRule="auto"/>
      </w:pPr>
      <w:r w:rsidRPr="00DE3B07">
        <w:rPr>
          <w:b/>
        </w:rPr>
        <w:t>Lecturer</w:t>
      </w:r>
      <w:r w:rsidRPr="00DE3B07">
        <w:t xml:space="preserve">: </w:t>
      </w:r>
      <w:r w:rsidRPr="00DE3B07">
        <w:t>Mateusz Gędźba</w:t>
      </w:r>
      <w:r w:rsidRPr="00DE3B07">
        <w:t xml:space="preserve"> </w:t>
      </w:r>
      <w:r>
        <w:t>–</w:t>
      </w:r>
      <w:r w:rsidRPr="00DE3B07">
        <w:t xml:space="preserve"> Krakow</w:t>
      </w:r>
    </w:p>
    <w:p w:rsidR="00DE3B07" w:rsidRPr="00DE3B07" w:rsidRDefault="00DE3B07" w:rsidP="00DE3B07">
      <w:pPr>
        <w:spacing w:line="360" w:lineRule="auto"/>
      </w:pPr>
      <w:r>
        <w:t xml:space="preserve">2 weeks long block seminar </w:t>
      </w:r>
      <w:proofErr w:type="spellStart"/>
      <w:r>
        <w:t>devided</w:t>
      </w:r>
      <w:proofErr w:type="spellEnd"/>
      <w:r>
        <w:t xml:space="preserve"> into 2 one week long </w:t>
      </w:r>
      <w:proofErr w:type="spellStart"/>
      <w:r>
        <w:t>moduls</w:t>
      </w:r>
      <w:proofErr w:type="spellEnd"/>
      <w:r>
        <w:t xml:space="preserve"> over the fall semester</w:t>
      </w:r>
    </w:p>
    <w:p w:rsidR="00DE3B07" w:rsidRPr="00DE3B07" w:rsidRDefault="00DE3B07" w:rsidP="00DE3B07">
      <w:pPr>
        <w:spacing w:line="360" w:lineRule="auto"/>
        <w:rPr>
          <w:u w:val="single"/>
        </w:rPr>
      </w:pPr>
    </w:p>
    <w:p w:rsidR="00DE3B07" w:rsidRPr="00DE3B07" w:rsidRDefault="00DE3B07" w:rsidP="00DE3B07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personal data protection law</w:t>
      </w:r>
    </w:p>
    <w:p w:rsidR="00DE3B07" w:rsidRPr="00DE3B07" w:rsidRDefault="00DE3B07" w:rsidP="00DE3B07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Soft law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OECD guidelines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Recommendations issued by Council of Europe Committee of Ministers (example: Recommendation Rec(2010)13 to member states on the protection of individuals with regard to automatic processing of personal data in the context of profiling (Profiling Recommendation), 23 November 2010)</w:t>
      </w:r>
    </w:p>
    <w:p w:rsidR="00DE3B07" w:rsidRPr="00DE3B07" w:rsidRDefault="00DE3B07" w:rsidP="00DE3B07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Hard law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European Convention on Human Rights: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Description of relevant regulations (e.g. Article 8)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Case law of European Court of Human Rights – the landmark cases: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Axel Springer AG v. Germany (Application no. </w:t>
      </w:r>
      <w:hyperlink r:id="rId8" w:anchor="%7B%22appno%22:[%2239954/08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39954/08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>) – balance between the right to data protection and freedom of expression;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Mosley v. The United Kingdom (Application no. </w:t>
      </w:r>
      <w:hyperlink r:id="rId9" w:anchor="%7B%22appno%22:[%2248009/08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48009/08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>) – balance between the right to data protection and freedom of expression;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Biriuk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Lithuania (Application no. No. 23373/03) - balance between the right to data protection and freedom of expression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Vereinigung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Bildender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Künstler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Austria (Application no. </w:t>
      </w:r>
      <w:hyperlink r:id="rId10" w:anchor="%7B%22appno%22:[%2268354/01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68354/01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>)– balance between the right to data protection and freedom of arts and sciences;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Társaság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Szabadságjogokért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Hungary (Application no. </w:t>
      </w:r>
      <w:hyperlink r:id="rId11" w:anchor="%7B%22appno%22:[%2237374/05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37374/05</w:t>
        </w:r>
      </w:hyperlink>
      <w:proofErr w:type="gramStart"/>
      <w:r w:rsidRPr="00DE3B07">
        <w:rPr>
          <w:rFonts w:ascii="Times New Roman" w:hAnsi="Times New Roman" w:cs="Times New Roman"/>
          <w:sz w:val="24"/>
          <w:szCs w:val="24"/>
          <w:lang w:val="en-US"/>
        </w:rPr>
        <w:t>)–</w:t>
      </w:r>
      <w:proofErr w:type="gram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balance between the right to data protection and the right of access to documents.;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Vereinigung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bildender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Künstler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Austria (Application no. No. 68345/01) - balance between the right to data protection and the freedom of the arts and sciences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Council of Europe Convention n° 108 and its amendments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History and territorial scope of the convention, it’s global character,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New draft of amending Protocol (published after the session of Committee of Ministers on 17 – 18 May 2018).</w:t>
      </w:r>
    </w:p>
    <w:p w:rsidR="00DE3B07" w:rsidRPr="00DE3B07" w:rsidRDefault="00DE3B07" w:rsidP="00DE3B07">
      <w:pPr>
        <w:pStyle w:val="Listaszerbekezds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p w:rsidR="00DE3B07" w:rsidRPr="00DE3B07" w:rsidRDefault="00DE3B07" w:rsidP="00DE3B07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u w:val="single"/>
          <w:lang w:val="en-US"/>
        </w:rPr>
        <w:t>Law of European Union:</w:t>
      </w:r>
    </w:p>
    <w:p w:rsidR="00DE3B07" w:rsidRPr="00DE3B07" w:rsidRDefault="00DE3B07" w:rsidP="00DE3B07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Primary EU law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Treaty on the functioning of European Union – art. 6 (1) with the coming into force of the Lisbon Treaty on 1 December 2009 turned the Charter of Fundamental Rights into EU primary law;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Charter of Fundamental Rights of the EU 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art. 7 (respect for private and family life) and art. 8 (right to data protection), art. 52 (limitations of right to data protection).</w:t>
      </w:r>
    </w:p>
    <w:p w:rsidR="00DE3B07" w:rsidRPr="00DE3B07" w:rsidRDefault="00DE3B07" w:rsidP="00DE3B07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Secondary law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Historical sources: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Directive 95/46/EC National (invalidated 25 May 2018);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Directive 2006/24/EC so called Data Retention Directive (invalidated 8 April 2014);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Applicable sources: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Directives: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Directive 2002/58/EC so called Directive on privacy and electronic communications;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Directive (EU) 2016/680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so called Police Directive;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Regulations: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Regulation (EU) 45/2011; 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Regulation (EU) 2016/679 so called GDPR;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CJUE case law – landmark cases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Joined cases C-92/09 and C-93/09, Volker and Markus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Schecke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GbR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(C-92/09) and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Hartmut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Eifert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(C-93/09) v. Land Hessen;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E3B07">
        <w:rPr>
          <w:rFonts w:ascii="Times New Roman" w:hAnsi="Times New Roman" w:cs="Times New Roman"/>
          <w:sz w:val="24"/>
          <w:szCs w:val="24"/>
        </w:rPr>
        <w:t xml:space="preserve"> C</w:t>
      </w:r>
      <w:r w:rsidRPr="00DE3B07">
        <w:rPr>
          <w:rFonts w:ascii="Times New Roman" w:hAnsi="Times New Roman" w:cs="Times New Roman"/>
          <w:sz w:val="24"/>
          <w:szCs w:val="24"/>
        </w:rPr>
        <w:noBreakHyphen/>
        <w:t xml:space="preserve">131/12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Google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Spain SL,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Google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Inc. v.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Agencia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Española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Protección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Datos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(AEPD), Mario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Costeja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González; 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Case C-582/14 Patrick Breyer v.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 Deutschland;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Case C-498/16 Maximilian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>Schrems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 v. Facebook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Ireland Ltd.;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Soft law: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Opinions of Article 29 Working Party (e.g. Opinion 4/2007 on the concept of personal data, WP 136, 20 June 2007);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Guidelines of European Data Protection Board (e.g. Guidelines 2/2018 on derogations of Article 49 under Regulation 2016/679).</w:t>
      </w:r>
    </w:p>
    <w:p w:rsidR="00DE3B07" w:rsidRPr="00DE3B07" w:rsidRDefault="00DE3B07" w:rsidP="00DE3B07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European Data Protection reform: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Historical background (Directive 95/46/EC – adopted in a completely different environment i.e. different level of internet access, the first attempts 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of reform 2012 – first official drafts, one of the most heavily lobbied pieces of legislation in the history of EU).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Current outcome (replacement of Directive 95/46/EC by GDPR, new regulations in the field of police related matters).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General Data Protection Regulation (GDPR) – specific provisions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Scope: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 result in EU (Article 288 TFEU, comparison between directive and regulation);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Applicability in EEA (incorporation of GDPR into EEA Agreement);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Material scope (comparison with convention n° 108, derogations listed in Article 2.2);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extraterritorial effect (establishment in EU, offering goods or services to EU citizens, monitoring the behavior of EU citizens – practical examples);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Key terms: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Personal data: 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3B0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is the limit of it, indirect identification (example: IP number – is it personal data?);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Special categories of personal data e.g. sensitive data (Article 6 of Convention n° 108, Article 9 GDPR, C-101/01,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Bodil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Lindqvist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, 6 November 2003), personal data relating to criminal convictions (Article 10 GDPR, example of criminal background checks used in recruitment);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Data subject;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Processing – scope of the definition, case law: C-101/01,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Bodil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Lindqvist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, 6 November 2003;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Filing system;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Controller and processor: 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Concept - Article 29 Working Party (2010), Opinion 1/2010 on the concepts of ‘controller’ and ‘processor’, WP 169, Brussels, 16 February 2010;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SWIFT case - Article 29 Working Party (2006), Opinion 10/2006 on the processing of personal data by the Society for Worldwide Interbank Financial Telecommunication (SWIFT), WP 128, Brussels, 22 November 2006;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Comparison of the scope of liability;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Data protection agreement – requirements of Article 28 GDPR.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Profiling – context: Big Data, Internet of Things (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), behavioral advertising, Article 29 Working Party Guidelines on Automated individual decision-making and Profiling for the purposes of Regulation 2016/679.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Pseudonymisation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Supervisory Authority. 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Supervisory Authority Concerned.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The main principles of personal data processing: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Fairness and lawfulness;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Legal bases of processing (art. 6.1 GDPR);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Purpose limitation;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Proportionality;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Accuracy;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Storage limitation;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Integrity and confidentiality.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Data subject’s rights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“the old rights” – the rights which had existed before GDPR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of access;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of rectification;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to file a claim with supervisory authority;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“the new rights” – the rights established by GDPR: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to data portability;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to restriction of processing;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Right to be forgotten; 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Right to object and 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t>automated</w:t>
      </w: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individual decision-making.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Cross-</w:t>
      </w:r>
      <w:proofErr w:type="spellStart"/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broder</w:t>
      </w:r>
      <w:proofErr w:type="spellEnd"/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data transfers: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General principle for transfers;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Adequacy decision;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Transfers subject to appropriate</w:t>
      </w:r>
      <w:r w:rsidRPr="00DE3B07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  <w:lang w:val="en-US"/>
        </w:rPr>
        <w:t xml:space="preserve"> </w:t>
      </w: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safeguards: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legally binding and enforceable instrument between public authorities or bodies;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binding corporate rules;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standard data protection clauses adopted by the European Commission;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standard data protection clauses adopted by the European Commission adopted by a supervisory </w:t>
      </w:r>
      <w:bookmarkStart w:id="0" w:name="_GoBack"/>
      <w:bookmarkEnd w:id="0"/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authority and approved by the Commission;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approved code of conduct;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approved certification mechanism</w:t>
      </w:r>
    </w:p>
    <w:p w:rsidR="00DE3B07" w:rsidRPr="00DE3B07" w:rsidRDefault="00DE3B07" w:rsidP="00DE3B07">
      <w:pPr>
        <w:spacing w:line="360" w:lineRule="auto"/>
        <w:rPr>
          <w:u w:val="single"/>
        </w:rPr>
      </w:pPr>
    </w:p>
    <w:p w:rsidR="00C914A3" w:rsidRPr="00DE3B07" w:rsidRDefault="00DE3B07" w:rsidP="00DE3B07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DE3B07">
        <w:rPr>
          <w:rFonts w:ascii="Times New Roman" w:hAnsi="Times New Roman" w:cs="Times New Roman"/>
          <w:b/>
          <w:bCs/>
        </w:rPr>
        <w:t>Assessment</w:t>
      </w:r>
      <w:proofErr w:type="spellEnd"/>
    </w:p>
    <w:p w:rsidR="00DE3B07" w:rsidRDefault="00DE3B07" w:rsidP="00DE3B07">
      <w:pPr>
        <w:pStyle w:val="Default"/>
        <w:rPr>
          <w:rFonts w:ascii="Times New Roman" w:hAnsi="Times New Roman" w:cs="Times New Roman"/>
          <w:bCs/>
        </w:rPr>
      </w:pPr>
    </w:p>
    <w:p w:rsidR="00DE3B07" w:rsidRPr="00DE3B07" w:rsidRDefault="00DE3B07" w:rsidP="00DE3B07">
      <w:pPr>
        <w:pStyle w:val="Defaul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Written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open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book</w:t>
      </w:r>
      <w:proofErr w:type="spellEnd"/>
      <w:r>
        <w:rPr>
          <w:rFonts w:ascii="Times New Roman" w:hAnsi="Times New Roman" w:cs="Times New Roman"/>
          <w:bCs/>
        </w:rPr>
        <w:t xml:space="preserve">) </w:t>
      </w:r>
      <w:proofErr w:type="spellStart"/>
      <w:r>
        <w:rPr>
          <w:rFonts w:ascii="Times New Roman" w:hAnsi="Times New Roman" w:cs="Times New Roman"/>
          <w:bCs/>
        </w:rPr>
        <w:t>exam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ont</w:t>
      </w:r>
      <w:proofErr w:type="gramEnd"/>
      <w:r>
        <w:rPr>
          <w:rFonts w:ascii="Times New Roman" w:hAnsi="Times New Roman" w:cs="Times New Roman"/>
          <w:bCs/>
        </w:rPr>
        <w:t xml:space="preserve"> he </w:t>
      </w:r>
      <w:proofErr w:type="spellStart"/>
      <w:r>
        <w:rPr>
          <w:rFonts w:ascii="Times New Roman" w:hAnsi="Times New Roman" w:cs="Times New Roman"/>
          <w:bCs/>
        </w:rPr>
        <w:t>last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lesson</w:t>
      </w:r>
      <w:proofErr w:type="spellEnd"/>
    </w:p>
    <w:sectPr w:rsidR="00DE3B07" w:rsidRPr="00DE3B07" w:rsidSect="003638DE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44" w:rsidRDefault="00587A44" w:rsidP="00B267E0">
      <w:r>
        <w:separator/>
      </w:r>
    </w:p>
  </w:endnote>
  <w:endnote w:type="continuationSeparator" w:id="0">
    <w:p w:rsidR="00587A44" w:rsidRDefault="00587A44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44" w:rsidRDefault="00587A44" w:rsidP="00B267E0">
      <w:r>
        <w:separator/>
      </w:r>
    </w:p>
  </w:footnote>
  <w:footnote w:type="continuationSeparator" w:id="0">
    <w:p w:rsidR="00587A44" w:rsidRDefault="00587A44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7DDE0D1A" wp14:editId="4AA99EA6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6838180D" wp14:editId="4AFF8B15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B7321"/>
    <w:multiLevelType w:val="hybridMultilevel"/>
    <w:tmpl w:val="D9CE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E3193"/>
    <w:multiLevelType w:val="hybridMultilevel"/>
    <w:tmpl w:val="42425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826CA"/>
    <w:multiLevelType w:val="hybridMultilevel"/>
    <w:tmpl w:val="7CDEB4D0"/>
    <w:lvl w:ilvl="0" w:tplc="AA82AE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70FD5"/>
    <w:rsid w:val="001F5012"/>
    <w:rsid w:val="00223741"/>
    <w:rsid w:val="00294CD6"/>
    <w:rsid w:val="002B4EEE"/>
    <w:rsid w:val="00303561"/>
    <w:rsid w:val="00305613"/>
    <w:rsid w:val="003854A0"/>
    <w:rsid w:val="003D6EAA"/>
    <w:rsid w:val="003E5D7A"/>
    <w:rsid w:val="003F5124"/>
    <w:rsid w:val="00462F46"/>
    <w:rsid w:val="00500E54"/>
    <w:rsid w:val="00542F82"/>
    <w:rsid w:val="0056227C"/>
    <w:rsid w:val="00587A44"/>
    <w:rsid w:val="005F04CD"/>
    <w:rsid w:val="006347C8"/>
    <w:rsid w:val="006446AC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E3B07"/>
    <w:rsid w:val="00DF5787"/>
    <w:rsid w:val="00E01CE1"/>
    <w:rsid w:val="00E26E2D"/>
    <w:rsid w:val="00EB27D8"/>
    <w:rsid w:val="00EE51FE"/>
    <w:rsid w:val="00F13C32"/>
    <w:rsid w:val="00F275C1"/>
    <w:rsid w:val="00FF2B0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bold">
    <w:name w:val="bold"/>
    <w:basedOn w:val="Bekezdsalapbettpusa"/>
    <w:rsid w:val="00DE3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bold">
    <w:name w:val="bold"/>
    <w:basedOn w:val="Bekezdsalapbettpusa"/>
    <w:rsid w:val="00DE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law/law-topic/data-protection/data-protection-eu_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udoc.echr.coe.int/e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udoc.echr.coe.int/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doc.echr.coe.int/e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2</TotalTime>
  <Pages>6</Pages>
  <Words>888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7003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2018-06-29T13:31:00Z</dcterms:created>
  <dcterms:modified xsi:type="dcterms:W3CDTF">2018-06-29T13:31:00Z</dcterms:modified>
</cp:coreProperties>
</file>