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C0" w:rsidRDefault="00305335" w:rsidP="000139C0">
      <w:pPr>
        <w:rPr>
          <w:b/>
          <w:bCs/>
          <w:i/>
          <w:iCs/>
        </w:rPr>
      </w:pPr>
      <w:r>
        <w:rPr>
          <w:noProof/>
          <w:lang w:val="hu-HU" w:eastAsia="hu-HU"/>
        </w:rPr>
        <w:drawing>
          <wp:anchor distT="0" distB="0" distL="114300" distR="114300" simplePos="0" relativeHeight="251659264" behindDoc="1" locked="0" layoutInCell="1" allowOverlap="1" wp14:anchorId="7E4EA188" wp14:editId="2997DB63">
            <wp:simplePos x="0" y="0"/>
            <wp:positionH relativeFrom="column">
              <wp:posOffset>-128270</wp:posOffset>
            </wp:positionH>
            <wp:positionV relativeFrom="paragraph">
              <wp:posOffset>119380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6"/>
                    <a:srcRect/>
                    <a:stretch>
                      <a:fillRect/>
                    </a:stretch>
                  </pic:blipFill>
                  <pic:spPr bwMode="auto">
                    <a:xfrm>
                      <a:off x="0" y="0"/>
                      <a:ext cx="3124200" cy="847725"/>
                    </a:xfrm>
                    <a:prstGeom prst="rect">
                      <a:avLst/>
                    </a:prstGeom>
                    <a:noFill/>
                    <a:ln w="9525">
                      <a:noFill/>
                      <a:miter lim="800000"/>
                      <a:headEnd/>
                      <a:tailEnd/>
                    </a:ln>
                  </pic:spPr>
                </pic:pic>
              </a:graphicData>
            </a:graphic>
          </wp:anchor>
        </w:drawing>
      </w:r>
    </w:p>
    <w:p w:rsidR="00305335" w:rsidRDefault="00305335" w:rsidP="000139C0">
      <w:pPr>
        <w:rPr>
          <w:b/>
          <w:bCs/>
          <w:i/>
          <w:iCs/>
        </w:rPr>
      </w:pPr>
    </w:p>
    <w:p w:rsidR="00305335" w:rsidRDefault="00305335" w:rsidP="000139C0">
      <w:pPr>
        <w:rPr>
          <w:b/>
          <w:bCs/>
          <w:i/>
          <w:iCs/>
        </w:rPr>
      </w:pPr>
    </w:p>
    <w:p w:rsidR="00305335" w:rsidRDefault="00305335" w:rsidP="000139C0">
      <w:pPr>
        <w:rPr>
          <w:b/>
          <w:bCs/>
          <w:i/>
          <w:iCs/>
        </w:rPr>
      </w:pPr>
      <w:bookmarkStart w:id="0" w:name="_GoBack"/>
      <w:bookmarkEnd w:id="0"/>
    </w:p>
    <w:p w:rsidR="00305335" w:rsidRDefault="00305335" w:rsidP="000139C0">
      <w:pPr>
        <w:rPr>
          <w:b/>
          <w:bCs/>
          <w:i/>
          <w:iCs/>
        </w:rPr>
      </w:pPr>
    </w:p>
    <w:p w:rsidR="00305335" w:rsidRDefault="00305335" w:rsidP="000139C0">
      <w:pPr>
        <w:rPr>
          <w:b/>
          <w:bCs/>
          <w:i/>
          <w:iCs/>
        </w:rPr>
      </w:pPr>
    </w:p>
    <w:p w:rsidR="00305335" w:rsidRPr="002B0832" w:rsidRDefault="00CF6876" w:rsidP="00CF6876">
      <w:pPr>
        <w:jc w:val="center"/>
        <w:rPr>
          <w:b/>
          <w:sz w:val="28"/>
          <w:szCs w:val="28"/>
          <w:u w:val="single"/>
        </w:rPr>
      </w:pPr>
      <w:r w:rsidRPr="002B0832">
        <w:rPr>
          <w:b/>
          <w:sz w:val="28"/>
          <w:szCs w:val="28"/>
          <w:u w:val="single"/>
        </w:rPr>
        <w:t>Litigation at the European Court of Justice -</w:t>
      </w:r>
    </w:p>
    <w:p w:rsidR="000139C0" w:rsidRPr="002B0832" w:rsidRDefault="000139C0" w:rsidP="00305335">
      <w:pPr>
        <w:jc w:val="center"/>
        <w:rPr>
          <w:b/>
          <w:sz w:val="28"/>
          <w:szCs w:val="28"/>
          <w:u w:val="single"/>
        </w:rPr>
      </w:pPr>
      <w:r w:rsidRPr="002B0832">
        <w:rPr>
          <w:b/>
          <w:sz w:val="28"/>
          <w:szCs w:val="28"/>
          <w:u w:val="single"/>
        </w:rPr>
        <w:t>Preliminary references in Private International Law</w:t>
      </w:r>
    </w:p>
    <w:p w:rsidR="00305335" w:rsidRDefault="00305335" w:rsidP="00305335">
      <w:pPr>
        <w:jc w:val="both"/>
      </w:pPr>
    </w:p>
    <w:p w:rsidR="00305335" w:rsidRDefault="000139C0" w:rsidP="00305335">
      <w:pPr>
        <w:jc w:val="both"/>
      </w:pPr>
      <w:r w:rsidRPr="00305335">
        <w:rPr>
          <w:b/>
        </w:rPr>
        <w:t>Lecturer</w:t>
      </w:r>
      <w:r w:rsidRPr="00305335">
        <w:t xml:space="preserve">: Réka Somssich </w:t>
      </w:r>
      <w:proofErr w:type="spellStart"/>
      <w:proofErr w:type="gramStart"/>
      <w:r w:rsidRPr="00305335">
        <w:t>Phd</w:t>
      </w:r>
      <w:proofErr w:type="spellEnd"/>
      <w:proofErr w:type="gramEnd"/>
      <w:r w:rsidRPr="00305335">
        <w:t xml:space="preserve"> dr</w:t>
      </w:r>
      <w:r w:rsidR="00F77F3F">
        <w:t xml:space="preserve"> </w:t>
      </w:r>
      <w:proofErr w:type="spellStart"/>
      <w:r w:rsidRPr="00305335">
        <w:t>Hab</w:t>
      </w:r>
      <w:proofErr w:type="spellEnd"/>
      <w:r w:rsidR="00305335">
        <w:t xml:space="preserve"> </w:t>
      </w:r>
    </w:p>
    <w:p w:rsidR="000139C0" w:rsidRPr="00305335" w:rsidRDefault="00305335" w:rsidP="00305335">
      <w:pPr>
        <w:ind w:left="708"/>
        <w:jc w:val="both"/>
      </w:pPr>
      <w:r>
        <w:rPr>
          <w:smallCaps/>
          <w:color w:val="222222"/>
        </w:rPr>
        <w:t xml:space="preserve">       </w:t>
      </w:r>
      <w:r w:rsidRPr="00305335">
        <w:rPr>
          <w:smallCaps/>
          <w:color w:val="222222"/>
        </w:rPr>
        <w:t>Department of Private International Law and European</w:t>
      </w:r>
      <w:r>
        <w:rPr>
          <w:rFonts w:ascii="Garamond" w:hAnsi="Garamond"/>
          <w:smallCaps/>
          <w:color w:val="222222"/>
          <w:sz w:val="26"/>
          <w:szCs w:val="26"/>
        </w:rPr>
        <w:t xml:space="preserve"> Economic Law</w:t>
      </w:r>
    </w:p>
    <w:p w:rsidR="00305335" w:rsidRDefault="00305335" w:rsidP="00305335">
      <w:pPr>
        <w:jc w:val="both"/>
      </w:pPr>
    </w:p>
    <w:p w:rsidR="00305335" w:rsidRDefault="00305335" w:rsidP="00305335">
      <w:pPr>
        <w:jc w:val="both"/>
      </w:pPr>
    </w:p>
    <w:p w:rsidR="000139C0" w:rsidRPr="00305335" w:rsidRDefault="000139C0" w:rsidP="00305335">
      <w:pPr>
        <w:jc w:val="both"/>
        <w:rPr>
          <w:b/>
        </w:rPr>
      </w:pPr>
      <w:r w:rsidRPr="00305335">
        <w:rPr>
          <w:b/>
        </w:rPr>
        <w:t>Description of the course</w:t>
      </w:r>
    </w:p>
    <w:p w:rsidR="000139C0" w:rsidRPr="00305335" w:rsidRDefault="000139C0" w:rsidP="00305335">
      <w:pPr>
        <w:jc w:val="both"/>
      </w:pPr>
    </w:p>
    <w:p w:rsidR="000139C0" w:rsidRPr="00305335" w:rsidRDefault="000139C0" w:rsidP="00305335">
      <w:pPr>
        <w:jc w:val="both"/>
      </w:pPr>
      <w:r w:rsidRPr="00305335">
        <w:t>Since the EU has adopted during the last decade a number of important instruments in the field of Private International Law, the number of preliminary references from national courts to the European Court of Justice is ever growing. The course which will be held in English and be open both for Erasmus students and Hungarian students will focus on the most important decisions of the Court of Justice in this field and on the attitude of national courts in applying these EU instruments and initiating preliminary ruling procedure. The course will elaborate the following topics during one semester.</w:t>
      </w:r>
    </w:p>
    <w:p w:rsidR="000139C0" w:rsidRPr="00305335" w:rsidRDefault="000139C0" w:rsidP="00305335">
      <w:pPr>
        <w:jc w:val="both"/>
      </w:pPr>
    </w:p>
    <w:p w:rsidR="000139C0" w:rsidRPr="00305335" w:rsidRDefault="00305335" w:rsidP="00305335">
      <w:pPr>
        <w:jc w:val="both"/>
        <w:rPr>
          <w:b/>
        </w:rPr>
      </w:pPr>
      <w:r w:rsidRPr="00305335">
        <w:rPr>
          <w:b/>
        </w:rPr>
        <w:t>Course schedule</w:t>
      </w:r>
    </w:p>
    <w:p w:rsidR="000139C0" w:rsidRPr="00305335" w:rsidRDefault="000139C0" w:rsidP="00305335">
      <w:pPr>
        <w:jc w:val="both"/>
      </w:pPr>
    </w:p>
    <w:p w:rsidR="000139C0" w:rsidRPr="00305335" w:rsidRDefault="000139C0" w:rsidP="00305335">
      <w:pPr>
        <w:pStyle w:val="Listaszerbekezds"/>
        <w:numPr>
          <w:ilvl w:val="0"/>
          <w:numId w:val="1"/>
        </w:numPr>
        <w:jc w:val="both"/>
      </w:pPr>
      <w:r w:rsidRPr="00305335">
        <w:t>The European Court of Justice and the preliminary ruling procedure in general</w:t>
      </w:r>
    </w:p>
    <w:p w:rsidR="000139C0" w:rsidRPr="00305335" w:rsidRDefault="000139C0" w:rsidP="00305335">
      <w:pPr>
        <w:pStyle w:val="Listaszerbekezds"/>
        <w:numPr>
          <w:ilvl w:val="0"/>
          <w:numId w:val="1"/>
        </w:numPr>
        <w:jc w:val="both"/>
      </w:pPr>
      <w:r w:rsidRPr="00305335">
        <w:t>Regulating Private International Law at EU level</w:t>
      </w:r>
    </w:p>
    <w:p w:rsidR="000139C0" w:rsidRPr="00305335" w:rsidRDefault="000139C0" w:rsidP="00305335">
      <w:pPr>
        <w:pStyle w:val="Listaszerbekezds"/>
        <w:numPr>
          <w:ilvl w:val="0"/>
          <w:numId w:val="1"/>
        </w:numPr>
        <w:jc w:val="both"/>
      </w:pPr>
      <w:r w:rsidRPr="00305335">
        <w:t>The intensity and nature of preliminary references in the field of Private International Law</w:t>
      </w:r>
    </w:p>
    <w:p w:rsidR="000139C0" w:rsidRPr="00305335" w:rsidRDefault="000139C0" w:rsidP="00305335">
      <w:pPr>
        <w:pStyle w:val="Listaszerbekezds"/>
        <w:numPr>
          <w:ilvl w:val="0"/>
          <w:numId w:val="1"/>
        </w:numPr>
        <w:jc w:val="both"/>
      </w:pPr>
      <w:r w:rsidRPr="00305335">
        <w:t>Analysis of leading cases: national PIL rules v non-discrimination principle (</w:t>
      </w:r>
      <w:proofErr w:type="spellStart"/>
      <w:r w:rsidRPr="00305335">
        <w:t>Avello</w:t>
      </w:r>
      <w:proofErr w:type="spellEnd"/>
      <w:r w:rsidRPr="00305335">
        <w:t xml:space="preserve"> case, Paul-</w:t>
      </w:r>
      <w:proofErr w:type="spellStart"/>
      <w:r w:rsidRPr="00305335">
        <w:t>Grunkin</w:t>
      </w:r>
      <w:proofErr w:type="spellEnd"/>
      <w:r w:rsidRPr="00305335">
        <w:t xml:space="preserve"> case, Wittgenstein case)</w:t>
      </w:r>
    </w:p>
    <w:p w:rsidR="000139C0" w:rsidRPr="00305335" w:rsidRDefault="000139C0" w:rsidP="00305335">
      <w:pPr>
        <w:pStyle w:val="Listaszerbekezds"/>
        <w:numPr>
          <w:ilvl w:val="0"/>
          <w:numId w:val="1"/>
        </w:numPr>
        <w:jc w:val="both"/>
      </w:pPr>
      <w:r w:rsidRPr="00305335">
        <w:t>Analysis of leading cases: national PIL rules v freedom of establishment (</w:t>
      </w:r>
      <w:proofErr w:type="spellStart"/>
      <w:r w:rsidRPr="00305335">
        <w:t>Cartesio</w:t>
      </w:r>
      <w:proofErr w:type="spellEnd"/>
      <w:r w:rsidRPr="00305335">
        <w:t xml:space="preserve"> case, Vale case)</w:t>
      </w:r>
    </w:p>
    <w:p w:rsidR="000139C0" w:rsidRPr="00305335" w:rsidRDefault="000139C0" w:rsidP="00305335">
      <w:pPr>
        <w:pStyle w:val="Listaszerbekezds"/>
        <w:numPr>
          <w:ilvl w:val="0"/>
          <w:numId w:val="1"/>
        </w:numPr>
        <w:jc w:val="both"/>
      </w:pPr>
      <w:r w:rsidRPr="00305335">
        <w:t xml:space="preserve"> Leading cases on Rome I Regulation</w:t>
      </w:r>
    </w:p>
    <w:p w:rsidR="000139C0" w:rsidRPr="00305335" w:rsidRDefault="000139C0" w:rsidP="00305335">
      <w:pPr>
        <w:pStyle w:val="Listaszerbekezds"/>
        <w:numPr>
          <w:ilvl w:val="0"/>
          <w:numId w:val="1"/>
        </w:numPr>
        <w:jc w:val="both"/>
      </w:pPr>
      <w:r w:rsidRPr="00305335">
        <w:t>Leading cases on Rome II Regulation</w:t>
      </w:r>
    </w:p>
    <w:p w:rsidR="000139C0" w:rsidRPr="00305335" w:rsidRDefault="000139C0" w:rsidP="00305335">
      <w:pPr>
        <w:pStyle w:val="Listaszerbekezds"/>
        <w:numPr>
          <w:ilvl w:val="0"/>
          <w:numId w:val="1"/>
        </w:numPr>
        <w:jc w:val="both"/>
      </w:pPr>
      <w:r w:rsidRPr="00305335">
        <w:t>Leading cases on the Brussels I Regulation</w:t>
      </w:r>
    </w:p>
    <w:p w:rsidR="000139C0" w:rsidRPr="00305335" w:rsidRDefault="000139C0" w:rsidP="00305335">
      <w:pPr>
        <w:pStyle w:val="Listaszerbekezds"/>
        <w:numPr>
          <w:ilvl w:val="0"/>
          <w:numId w:val="1"/>
        </w:numPr>
        <w:jc w:val="both"/>
      </w:pPr>
      <w:r w:rsidRPr="00305335">
        <w:t>The urgency procedure (PPU cases), leading cases on Rome III regulation</w:t>
      </w:r>
    </w:p>
    <w:p w:rsidR="000139C0" w:rsidRPr="00305335" w:rsidRDefault="000139C0" w:rsidP="00305335">
      <w:pPr>
        <w:pStyle w:val="Listaszerbekezds"/>
        <w:numPr>
          <w:ilvl w:val="0"/>
          <w:numId w:val="1"/>
        </w:numPr>
        <w:jc w:val="both"/>
      </w:pPr>
      <w:r w:rsidRPr="00305335">
        <w:t>The impact of the decisions of the Court of Justice on national legislation in the field of Private International Law</w:t>
      </w:r>
    </w:p>
    <w:p w:rsidR="000139C0" w:rsidRPr="00305335" w:rsidRDefault="000139C0" w:rsidP="00305335">
      <w:pPr>
        <w:pStyle w:val="Listaszerbekezds"/>
        <w:numPr>
          <w:ilvl w:val="0"/>
          <w:numId w:val="1"/>
        </w:numPr>
        <w:jc w:val="both"/>
      </w:pPr>
      <w:r w:rsidRPr="00305335">
        <w:t>The evolution of Private International Law concepts due to the decisions of the Court of Justice</w:t>
      </w:r>
    </w:p>
    <w:p w:rsidR="000139C0" w:rsidRPr="00305335" w:rsidRDefault="000139C0" w:rsidP="00305335">
      <w:pPr>
        <w:pStyle w:val="Listaszerbekezds"/>
        <w:numPr>
          <w:ilvl w:val="0"/>
          <w:numId w:val="1"/>
        </w:numPr>
        <w:jc w:val="both"/>
      </w:pPr>
      <w:r w:rsidRPr="00305335">
        <w:t>Hungarian judges and EU Private International Law instruments</w:t>
      </w:r>
    </w:p>
    <w:p w:rsidR="000139C0" w:rsidRPr="00305335" w:rsidRDefault="000139C0" w:rsidP="00305335">
      <w:pPr>
        <w:jc w:val="both"/>
      </w:pPr>
    </w:p>
    <w:p w:rsidR="00305335" w:rsidRDefault="000139C0" w:rsidP="00305335">
      <w:pPr>
        <w:jc w:val="both"/>
      </w:pPr>
      <w:r w:rsidRPr="00305335">
        <w:rPr>
          <w:b/>
        </w:rPr>
        <w:t>Literature</w:t>
      </w:r>
      <w:r w:rsidRPr="00305335">
        <w:t xml:space="preserve"> </w:t>
      </w:r>
    </w:p>
    <w:p w:rsidR="00305335" w:rsidRDefault="00305335" w:rsidP="00305335">
      <w:pPr>
        <w:jc w:val="both"/>
      </w:pPr>
    </w:p>
    <w:p w:rsidR="000139C0" w:rsidRPr="00305335" w:rsidRDefault="000139C0" w:rsidP="00305335">
      <w:pPr>
        <w:jc w:val="both"/>
      </w:pPr>
      <w:r w:rsidRPr="00305335">
        <w:t xml:space="preserve">Compulsory reading will be uploaded to the </w:t>
      </w:r>
      <w:proofErr w:type="spellStart"/>
      <w:r w:rsidRPr="00305335">
        <w:t>Neptun</w:t>
      </w:r>
      <w:proofErr w:type="spellEnd"/>
    </w:p>
    <w:p w:rsidR="00305335" w:rsidRDefault="00305335" w:rsidP="00305335">
      <w:pPr>
        <w:jc w:val="both"/>
        <w:rPr>
          <w:b/>
        </w:rPr>
      </w:pPr>
    </w:p>
    <w:p w:rsidR="00305335" w:rsidRPr="00305335" w:rsidRDefault="000139C0" w:rsidP="00305335">
      <w:pPr>
        <w:jc w:val="both"/>
        <w:rPr>
          <w:b/>
        </w:rPr>
      </w:pPr>
      <w:r w:rsidRPr="00305335">
        <w:rPr>
          <w:b/>
        </w:rPr>
        <w:t>Exam</w:t>
      </w:r>
    </w:p>
    <w:p w:rsidR="00305335" w:rsidRDefault="00305335" w:rsidP="00305335">
      <w:pPr>
        <w:jc w:val="both"/>
      </w:pPr>
    </w:p>
    <w:p w:rsidR="000B419B" w:rsidRPr="00305335" w:rsidRDefault="000139C0" w:rsidP="00305335">
      <w:pPr>
        <w:jc w:val="both"/>
      </w:pPr>
      <w:proofErr w:type="gramStart"/>
      <w:r w:rsidRPr="00305335">
        <w:t>written</w:t>
      </w:r>
      <w:proofErr w:type="gramEnd"/>
      <w:r w:rsidRPr="00305335">
        <w:t xml:space="preserve"> exam</w:t>
      </w:r>
    </w:p>
    <w:sectPr w:rsidR="000B419B" w:rsidRPr="00305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7496A"/>
    <w:multiLevelType w:val="hybridMultilevel"/>
    <w:tmpl w:val="E2E4D06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26"/>
    <w:rsid w:val="000139C0"/>
    <w:rsid w:val="00032737"/>
    <w:rsid w:val="000B419B"/>
    <w:rsid w:val="001B3978"/>
    <w:rsid w:val="0023775A"/>
    <w:rsid w:val="002B0832"/>
    <w:rsid w:val="00305335"/>
    <w:rsid w:val="00476126"/>
    <w:rsid w:val="00CF6876"/>
    <w:rsid w:val="00DB272D"/>
    <w:rsid w:val="00F77F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139C0"/>
    <w:pPr>
      <w:spacing w:after="0" w:line="240" w:lineRule="auto"/>
    </w:pPr>
    <w:rPr>
      <w:rFonts w:ascii="Times New Roman" w:eastAsia="Times New Roman" w:hAnsi="Times New Roman" w:cs="Times New Roman"/>
      <w:sz w:val="24"/>
      <w:szCs w:val="24"/>
      <w:lang w:val="en-GB"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139C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139C0"/>
    <w:pPr>
      <w:spacing w:after="0" w:line="240" w:lineRule="auto"/>
    </w:pPr>
    <w:rPr>
      <w:rFonts w:ascii="Times New Roman" w:eastAsia="Times New Roman" w:hAnsi="Times New Roman" w:cs="Times New Roman"/>
      <w:sz w:val="24"/>
      <w:szCs w:val="24"/>
      <w:lang w:val="en-GB"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139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91235">
      <w:bodyDiv w:val="1"/>
      <w:marLeft w:val="0"/>
      <w:marRight w:val="0"/>
      <w:marTop w:val="0"/>
      <w:marBottom w:val="0"/>
      <w:divBdr>
        <w:top w:val="none" w:sz="0" w:space="0" w:color="auto"/>
        <w:left w:val="none" w:sz="0" w:space="0" w:color="auto"/>
        <w:bottom w:val="none" w:sz="0" w:space="0" w:color="auto"/>
        <w:right w:val="none" w:sz="0" w:space="0" w:color="auto"/>
      </w:divBdr>
    </w:div>
    <w:div w:id="21252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1625</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Somssich Réka</dc:creator>
  <cp:lastModifiedBy>Udovecz Ákos</cp:lastModifiedBy>
  <cp:revision>2</cp:revision>
  <dcterms:created xsi:type="dcterms:W3CDTF">2018-12-03T13:59:00Z</dcterms:created>
  <dcterms:modified xsi:type="dcterms:W3CDTF">2018-12-03T13:59:00Z</dcterms:modified>
</cp:coreProperties>
</file>