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D8" w:rsidRPr="008827E2" w:rsidRDefault="00EB27D8" w:rsidP="008827E2">
      <w:pPr>
        <w:pStyle w:val="Default"/>
        <w:spacing w:after="60"/>
        <w:ind w:right="-8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52001C" w:rsidRPr="008827E2" w:rsidRDefault="00F914E6" w:rsidP="008827E2">
      <w:pPr>
        <w:spacing w:after="120"/>
        <w:ind w:right="-8"/>
        <w:jc w:val="center"/>
        <w:rPr>
          <w:rFonts w:eastAsia="MS Mincho"/>
          <w:color w:val="000000"/>
          <w:u w:val="single"/>
        </w:rPr>
      </w:pPr>
      <w:r w:rsidRPr="008827E2">
        <w:rPr>
          <w:b/>
          <w:bCs/>
          <w:u w:val="single"/>
          <w:lang w:val="en-GB" w:eastAsia="lb-LU"/>
        </w:rPr>
        <w:t>EU</w:t>
      </w:r>
      <w:bookmarkStart w:id="0" w:name="_GoBack"/>
      <w:bookmarkEnd w:id="0"/>
      <w:r w:rsidRPr="008827E2">
        <w:rPr>
          <w:b/>
          <w:bCs/>
          <w:u w:val="single"/>
          <w:lang w:val="en-GB" w:eastAsia="lb-LU"/>
        </w:rPr>
        <w:t xml:space="preserve"> Area of Freedom Security and Justice</w:t>
      </w:r>
    </w:p>
    <w:p w:rsidR="00F914E6" w:rsidRPr="008827E2" w:rsidRDefault="00F914E6" w:rsidP="008827E2">
      <w:pPr>
        <w:ind w:right="-8"/>
        <w:jc w:val="both"/>
        <w:rPr>
          <w:b/>
        </w:rPr>
      </w:pPr>
    </w:p>
    <w:p w:rsidR="00EB27D8" w:rsidRPr="008827E2" w:rsidRDefault="00F914E6" w:rsidP="008827E2">
      <w:pPr>
        <w:ind w:right="-8"/>
        <w:jc w:val="both"/>
        <w:rPr>
          <w:b/>
        </w:rPr>
      </w:pPr>
      <w:r w:rsidRPr="008827E2">
        <w:rPr>
          <w:b/>
        </w:rPr>
        <w:t xml:space="preserve">Lecturer: </w:t>
      </w:r>
      <w:r w:rsidR="00EB27D8" w:rsidRPr="008827E2">
        <w:rPr>
          <w:b/>
        </w:rPr>
        <w:t xml:space="preserve">Dr. </w:t>
      </w:r>
      <w:r w:rsidR="00586D3A" w:rsidRPr="008827E2">
        <w:rPr>
          <w:b/>
        </w:rPr>
        <w:t>Petra JENEY</w:t>
      </w:r>
    </w:p>
    <w:p w:rsidR="00EB27D8" w:rsidRPr="008827E2" w:rsidRDefault="00F914E6" w:rsidP="008827E2">
      <w:pPr>
        <w:ind w:right="-8" w:firstLine="720"/>
        <w:jc w:val="both"/>
      </w:pPr>
      <w:r w:rsidRPr="008827E2">
        <w:rPr>
          <w:b/>
        </w:rPr>
        <w:t xml:space="preserve">    </w:t>
      </w:r>
      <w:r w:rsidR="00D4673B">
        <w:rPr>
          <w:b/>
        </w:rPr>
        <w:t xml:space="preserve"> </w:t>
      </w:r>
      <w:r w:rsidR="00EB27D8" w:rsidRPr="008827E2">
        <w:t>Ass</w:t>
      </w:r>
      <w:r w:rsidR="00121FD4" w:rsidRPr="008827E2">
        <w:t>istant</w:t>
      </w:r>
      <w:r w:rsidR="00EB27D8" w:rsidRPr="008827E2">
        <w:t xml:space="preserve"> Professor</w:t>
      </w:r>
      <w:r w:rsidRPr="008827E2">
        <w:t>/</w:t>
      </w:r>
      <w:r w:rsidR="00EB27D8" w:rsidRPr="008827E2">
        <w:rPr>
          <w:rFonts w:eastAsia="MS Mincho"/>
          <w:bCs/>
        </w:rPr>
        <w:t xml:space="preserve">Department of International Law </w:t>
      </w:r>
    </w:p>
    <w:p w:rsidR="00EB27D8" w:rsidRPr="008827E2" w:rsidRDefault="00F914E6" w:rsidP="008827E2">
      <w:pPr>
        <w:pStyle w:val="Default"/>
        <w:spacing w:after="60"/>
        <w:ind w:right="-8"/>
        <w:jc w:val="both"/>
        <w:rPr>
          <w:rFonts w:ascii="Times New Roman" w:hAnsi="Times New Roman" w:cs="Times New Roman"/>
        </w:rPr>
      </w:pPr>
      <w:r w:rsidRPr="008827E2">
        <w:rPr>
          <w:rFonts w:ascii="Times New Roman" w:hAnsi="Times New Roman" w:cs="Times New Roman"/>
          <w:b/>
        </w:rPr>
        <w:t>E-mail</w:t>
      </w:r>
      <w:r w:rsidRPr="008827E2">
        <w:rPr>
          <w:rFonts w:ascii="Times New Roman" w:hAnsi="Times New Roman" w:cs="Times New Roman"/>
        </w:rPr>
        <w:t xml:space="preserve">: </w:t>
      </w:r>
      <w:hyperlink r:id="rId8" w:history="1">
        <w:r w:rsidRPr="008827E2">
          <w:rPr>
            <w:rStyle w:val="Hiperhivatkozs"/>
            <w:rFonts w:ascii="Times New Roman" w:hAnsi="Times New Roman" w:cs="Times New Roman"/>
          </w:rPr>
          <w:t>jeney@ajk.elte.hu</w:t>
        </w:r>
      </w:hyperlink>
    </w:p>
    <w:p w:rsidR="00F914E6" w:rsidRPr="008827E2" w:rsidRDefault="00F914E6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b/>
          <w:color w:val="000000"/>
          <w:lang w:val="hu-HU"/>
        </w:rPr>
        <w:t>Course</w:t>
      </w:r>
      <w:proofErr w:type="spellEnd"/>
      <w:r w:rsidRPr="008827E2">
        <w:rPr>
          <w:b/>
          <w:color w:val="000000"/>
          <w:lang w:val="hu-HU"/>
        </w:rPr>
        <w:t xml:space="preserve"> </w:t>
      </w:r>
      <w:proofErr w:type="spellStart"/>
      <w:r w:rsidRPr="008827E2">
        <w:rPr>
          <w:b/>
          <w:color w:val="000000"/>
          <w:lang w:val="hu-HU"/>
        </w:rPr>
        <w:t>description</w:t>
      </w:r>
      <w:proofErr w:type="spellEnd"/>
    </w:p>
    <w:p w:rsidR="008827E2" w:rsidRPr="008827E2" w:rsidRDefault="008827E2" w:rsidP="008827E2">
      <w:pPr>
        <w:ind w:right="-8"/>
        <w:jc w:val="both"/>
        <w:rPr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color w:val="000000"/>
          <w:lang w:val="hu-HU"/>
        </w:rPr>
      </w:pPr>
      <w:r w:rsidRPr="008827E2">
        <w:rPr>
          <w:color w:val="000000"/>
          <w:lang w:val="hu-HU"/>
        </w:rPr>
        <w:t xml:space="preserve">The </w:t>
      </w:r>
      <w:proofErr w:type="spellStart"/>
      <w:r w:rsidRPr="008827E2">
        <w:rPr>
          <w:color w:val="000000"/>
          <w:lang w:val="hu-HU"/>
        </w:rPr>
        <w:t>course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examines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the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Justice</w:t>
      </w:r>
      <w:proofErr w:type="spellEnd"/>
      <w:r w:rsidRPr="008827E2">
        <w:rPr>
          <w:color w:val="000000"/>
          <w:lang w:val="hu-HU"/>
        </w:rPr>
        <w:t xml:space="preserve"> and Home Affairs </w:t>
      </w:r>
      <w:proofErr w:type="spellStart"/>
      <w:r w:rsidRPr="008827E2">
        <w:rPr>
          <w:color w:val="000000"/>
          <w:lang w:val="hu-HU"/>
        </w:rPr>
        <w:t>cooperation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in</w:t>
      </w:r>
      <w:proofErr w:type="spellEnd"/>
      <w:r w:rsidR="00BB6D4D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the</w:t>
      </w:r>
      <w:proofErr w:type="spellEnd"/>
      <w:r w:rsidRPr="008827E2">
        <w:rPr>
          <w:color w:val="000000"/>
          <w:lang w:val="hu-HU"/>
        </w:rPr>
        <w:t xml:space="preserve"> European Union (</w:t>
      </w:r>
      <w:proofErr w:type="spellStart"/>
      <w:r w:rsidRPr="008827E2">
        <w:rPr>
          <w:color w:val="000000"/>
          <w:lang w:val="hu-HU"/>
        </w:rPr>
        <w:t>visa</w:t>
      </w:r>
      <w:proofErr w:type="spellEnd"/>
      <w:r w:rsidRPr="008827E2">
        <w:rPr>
          <w:color w:val="000000"/>
          <w:lang w:val="hu-HU"/>
        </w:rPr>
        <w:t xml:space="preserve"> policy, </w:t>
      </w:r>
      <w:proofErr w:type="spellStart"/>
      <w:r w:rsidRPr="008827E2">
        <w:rPr>
          <w:color w:val="000000"/>
          <w:lang w:val="hu-HU"/>
        </w:rPr>
        <w:t>border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control</w:t>
      </w:r>
      <w:proofErr w:type="spellEnd"/>
      <w:r w:rsidRPr="008827E2">
        <w:rPr>
          <w:color w:val="000000"/>
          <w:lang w:val="hu-HU"/>
        </w:rPr>
        <w:t xml:space="preserve">, </w:t>
      </w:r>
      <w:proofErr w:type="spellStart"/>
      <w:r w:rsidRPr="008827E2">
        <w:rPr>
          <w:color w:val="000000"/>
          <w:lang w:val="hu-HU"/>
        </w:rPr>
        <w:t>asylum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system</w:t>
      </w:r>
      <w:proofErr w:type="spellEnd"/>
      <w:r w:rsidRPr="008827E2">
        <w:rPr>
          <w:color w:val="000000"/>
          <w:lang w:val="hu-HU"/>
        </w:rPr>
        <w:t xml:space="preserve">, </w:t>
      </w:r>
      <w:proofErr w:type="spellStart"/>
      <w:r w:rsidRPr="008827E2">
        <w:rPr>
          <w:color w:val="000000"/>
          <w:lang w:val="hu-HU"/>
        </w:rPr>
        <w:t>imigration</w:t>
      </w:r>
      <w:proofErr w:type="spellEnd"/>
      <w:r w:rsidRPr="008827E2">
        <w:rPr>
          <w:color w:val="000000"/>
          <w:lang w:val="hu-HU"/>
        </w:rPr>
        <w:t xml:space="preserve"> policy, </w:t>
      </w:r>
      <w:proofErr w:type="spellStart"/>
      <w:r w:rsidRPr="008827E2">
        <w:rPr>
          <w:color w:val="000000"/>
          <w:lang w:val="hu-HU"/>
        </w:rPr>
        <w:t>judicial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cooperation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in</w:t>
      </w:r>
      <w:proofErr w:type="spellEnd"/>
      <w:r w:rsidRPr="008827E2">
        <w:rPr>
          <w:color w:val="000000"/>
          <w:lang w:val="hu-HU"/>
        </w:rPr>
        <w:t xml:space="preserve"> </w:t>
      </w:r>
      <w:r w:rsidR="005B15F2">
        <w:rPr>
          <w:color w:val="000000"/>
          <w:lang w:val="hu-HU"/>
        </w:rPr>
        <w:t xml:space="preserve">civil and </w:t>
      </w:r>
      <w:proofErr w:type="spellStart"/>
      <w:r w:rsidRPr="008827E2">
        <w:rPr>
          <w:color w:val="000000"/>
          <w:lang w:val="hu-HU"/>
        </w:rPr>
        <w:t>criminal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matters</w:t>
      </w:r>
      <w:proofErr w:type="spellEnd"/>
      <w:r w:rsidR="005B15F2">
        <w:rPr>
          <w:color w:val="000000"/>
          <w:lang w:val="hu-HU"/>
        </w:rPr>
        <w:t xml:space="preserve">, </w:t>
      </w:r>
      <w:proofErr w:type="spellStart"/>
      <w:r w:rsidR="005B15F2">
        <w:rPr>
          <w:color w:val="000000"/>
          <w:lang w:val="hu-HU"/>
        </w:rPr>
        <w:t>law</w:t>
      </w:r>
      <w:proofErr w:type="spellEnd"/>
      <w:r w:rsidR="005B15F2">
        <w:rPr>
          <w:color w:val="000000"/>
          <w:lang w:val="hu-HU"/>
        </w:rPr>
        <w:t xml:space="preserve"> </w:t>
      </w:r>
      <w:proofErr w:type="spellStart"/>
      <w:r w:rsidR="005B15F2">
        <w:rPr>
          <w:color w:val="000000"/>
          <w:lang w:val="hu-HU"/>
        </w:rPr>
        <w:t>enforcement</w:t>
      </w:r>
      <w:proofErr w:type="spellEnd"/>
      <w:r w:rsidR="005B15F2">
        <w:rPr>
          <w:color w:val="000000"/>
          <w:lang w:val="hu-HU"/>
        </w:rPr>
        <w:t xml:space="preserve"> </w:t>
      </w:r>
      <w:proofErr w:type="spellStart"/>
      <w:r w:rsidR="005B15F2">
        <w:rPr>
          <w:color w:val="000000"/>
          <w:lang w:val="hu-HU"/>
        </w:rPr>
        <w:t>cooperation</w:t>
      </w:r>
      <w:proofErr w:type="spellEnd"/>
      <w:r w:rsidRPr="008827E2">
        <w:rPr>
          <w:color w:val="000000"/>
          <w:lang w:val="hu-HU"/>
        </w:rPr>
        <w:t>)</w:t>
      </w: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b/>
          <w:color w:val="000000"/>
          <w:lang w:val="hu-HU"/>
        </w:rPr>
        <w:t>Course</w:t>
      </w:r>
      <w:proofErr w:type="spellEnd"/>
      <w:r w:rsidRPr="008827E2">
        <w:rPr>
          <w:b/>
          <w:color w:val="000000"/>
          <w:lang w:val="hu-HU"/>
        </w:rPr>
        <w:t xml:space="preserve"> </w:t>
      </w:r>
      <w:proofErr w:type="spellStart"/>
      <w:r w:rsidRPr="008827E2">
        <w:rPr>
          <w:b/>
          <w:color w:val="000000"/>
          <w:lang w:val="hu-HU"/>
        </w:rPr>
        <w:t>schedule</w:t>
      </w:r>
      <w:proofErr w:type="spellEnd"/>
    </w:p>
    <w:p w:rsidR="00587CF6" w:rsidRPr="008827E2" w:rsidRDefault="00587CF6" w:rsidP="008827E2">
      <w:pPr>
        <w:ind w:right="-8"/>
        <w:jc w:val="both"/>
        <w:rPr>
          <w:b/>
          <w:color w:val="00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2"/>
        <w:gridCol w:w="6081"/>
      </w:tblGrid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week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General overview of Justice and Home Affairs cooperation in the European Union – history, legal framework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The Schengen Area – establishment and development of an area with no internal borders, current pressures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 xml:space="preserve">Border control – Integrated Border Management, temporary reintroduction of internal border control, current issues in strengthening border security of the European Union’s external borders 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Visa policy – visa requirement, visa procedure, Visa Information System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Common European Asylum System I. – origins of EU asylum policy and regulation – legal framework, competences Qualification Directive – international protection provided by the EU: refugee status and subsidiary protection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Common European Asylum System II. - Qualification Directive contd.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 xml:space="preserve">Common European Asylum System III. - Procedures Directive, Dublin Regulation and </w:t>
            </w:r>
            <w:proofErr w:type="spellStart"/>
            <w:r w:rsidRPr="008827E2">
              <w:rPr>
                <w:lang w:val="en-GB"/>
              </w:rPr>
              <w:t>Eurodac</w:t>
            </w:r>
            <w:proofErr w:type="spellEnd"/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Common European Asylum System IV. – Understanding the ’2015-2016’ refugee crises’ EU and Member States responses, discussion on solidarity and responsibility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EU Immigration policy – regular and irregular migration to the European Union, dilemmas yet to be solved – how does the EU facilitate labour migration and how does the EU combat irregular migration and return illegal migrants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 xml:space="preserve">Judicial cooperation in criminal matters I. history, legal </w:t>
            </w:r>
            <w:r w:rsidRPr="008827E2">
              <w:rPr>
                <w:lang w:val="en-GB"/>
              </w:rPr>
              <w:lastRenderedPageBreak/>
              <w:t>framework, from mutual legal assistance to mutual recognition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Judicial cooperation in criminal matters II – The European Arrest Warrant, the flagship instrument of EU judicial cooperation in criminal matters on surrender procedures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Judicial cooperation in civil matters – EU legal instruments facilitating cross border litigation, asset recovery and a glimpse of EU Family law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Law enforcement cooperation in the European Union, data protection and information exchange, European Model of Information Exchange</w:t>
            </w:r>
          </w:p>
        </w:tc>
      </w:tr>
    </w:tbl>
    <w:p w:rsidR="00F914E6" w:rsidRPr="008827E2" w:rsidRDefault="00F914E6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b/>
          <w:color w:val="000000"/>
          <w:lang w:val="hu-HU"/>
        </w:rPr>
        <w:t>Learning</w:t>
      </w:r>
      <w:proofErr w:type="spellEnd"/>
      <w:r w:rsidRPr="008827E2">
        <w:rPr>
          <w:b/>
          <w:color w:val="000000"/>
          <w:lang w:val="hu-HU"/>
        </w:rPr>
        <w:t xml:space="preserve"> </w:t>
      </w:r>
      <w:proofErr w:type="spellStart"/>
      <w:r w:rsidRPr="008827E2">
        <w:rPr>
          <w:b/>
          <w:color w:val="000000"/>
          <w:lang w:val="hu-HU"/>
        </w:rPr>
        <w:t>material</w:t>
      </w:r>
      <w:proofErr w:type="spellEnd"/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lang w:val="en-GB"/>
        </w:rPr>
      </w:pPr>
      <w:r w:rsidRPr="008827E2">
        <w:rPr>
          <w:lang w:val="en-GB"/>
        </w:rPr>
        <w:t>Reader and compilation of cases provided by the lecturer</w:t>
      </w:r>
    </w:p>
    <w:p w:rsidR="008827E2" w:rsidRPr="008827E2" w:rsidRDefault="008827E2" w:rsidP="008827E2">
      <w:pPr>
        <w:ind w:right="-8"/>
        <w:jc w:val="both"/>
        <w:rPr>
          <w:lang w:val="en-GB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b/>
          <w:color w:val="000000"/>
          <w:lang w:val="hu-HU"/>
        </w:rPr>
        <w:t>Literature</w:t>
      </w:r>
      <w:proofErr w:type="spellEnd"/>
      <w:r w:rsidRPr="008827E2">
        <w:rPr>
          <w:b/>
          <w:color w:val="000000"/>
          <w:lang w:val="hu-HU"/>
        </w:rPr>
        <w:t>:</w:t>
      </w: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pStyle w:val="Listaszerbekezds"/>
        <w:numPr>
          <w:ilvl w:val="0"/>
          <w:numId w:val="4"/>
        </w:numPr>
        <w:jc w:val="both"/>
        <w:rPr>
          <w:lang w:val="en-GB"/>
        </w:rPr>
      </w:pPr>
      <w:proofErr w:type="spellStart"/>
      <w:r w:rsidRPr="008827E2">
        <w:rPr>
          <w:lang w:val="en-GB"/>
        </w:rPr>
        <w:t>Cathrine</w:t>
      </w:r>
      <w:proofErr w:type="spellEnd"/>
      <w:r w:rsidRPr="008827E2">
        <w:rPr>
          <w:lang w:val="en-GB"/>
        </w:rPr>
        <w:t xml:space="preserve"> Barnard and Steve Peers: European Union Law, Oxford University Press 2014, chapters 25 and 26</w:t>
      </w:r>
    </w:p>
    <w:p w:rsidR="008827E2" w:rsidRPr="008827E2" w:rsidRDefault="008827E2" w:rsidP="008827E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n-GB"/>
        </w:rPr>
      </w:pPr>
      <w:r w:rsidRPr="008827E2">
        <w:rPr>
          <w:bCs/>
          <w:lang w:val="lb-LU" w:eastAsia="lb-LU"/>
        </w:rPr>
        <w:t>Implementing the Lisbon Treaty Improving the Functioning of the EU on Justice and Home Affairs, Eurpoean Parliament Study 2015</w:t>
      </w: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b/>
          <w:color w:val="000000"/>
          <w:lang w:val="hu-HU"/>
        </w:rPr>
        <w:t>Assessment</w:t>
      </w:r>
      <w:proofErr w:type="spellEnd"/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color w:val="000000"/>
          <w:lang w:val="hu-HU"/>
        </w:rPr>
        <w:t>Written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exam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from</w:t>
      </w:r>
      <w:proofErr w:type="spellEnd"/>
      <w:r w:rsidRPr="008827E2">
        <w:rPr>
          <w:b/>
          <w:color w:val="000000"/>
          <w:lang w:val="hu-HU"/>
        </w:rPr>
        <w:t xml:space="preserve"> </w:t>
      </w:r>
      <w:r>
        <w:rPr>
          <w:lang w:val="en-GB"/>
        </w:rPr>
        <w:t>r</w:t>
      </w:r>
      <w:r w:rsidRPr="008827E2">
        <w:rPr>
          <w:lang w:val="en-GB"/>
        </w:rPr>
        <w:t>eader, slides presented, legislation and cases provided and one of the suggested textbooks.</w:t>
      </w:r>
    </w:p>
    <w:sectPr w:rsidR="008827E2" w:rsidRPr="008827E2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F5" w:rsidRDefault="00643FF5" w:rsidP="00B267E0">
      <w:r>
        <w:separator/>
      </w:r>
    </w:p>
  </w:endnote>
  <w:endnote w:type="continuationSeparator" w:id="0">
    <w:p w:rsidR="00643FF5" w:rsidRDefault="00643FF5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F5" w:rsidRDefault="00643FF5" w:rsidP="00B267E0">
      <w:r>
        <w:separator/>
      </w:r>
    </w:p>
  </w:footnote>
  <w:footnote w:type="continuationSeparator" w:id="0">
    <w:p w:rsidR="00643FF5" w:rsidRDefault="00643FF5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51998814" wp14:editId="0A0657BD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3060936D" wp14:editId="0404850F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D4B"/>
    <w:multiLevelType w:val="hybridMultilevel"/>
    <w:tmpl w:val="3FFE5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2772E"/>
    <w:rsid w:val="00051DAB"/>
    <w:rsid w:val="00091FCC"/>
    <w:rsid w:val="000C3A9A"/>
    <w:rsid w:val="000D64FA"/>
    <w:rsid w:val="000F4C47"/>
    <w:rsid w:val="00114A03"/>
    <w:rsid w:val="00121FD4"/>
    <w:rsid w:val="001529C6"/>
    <w:rsid w:val="001F5012"/>
    <w:rsid w:val="00223741"/>
    <w:rsid w:val="00237530"/>
    <w:rsid w:val="00277B35"/>
    <w:rsid w:val="00294CD6"/>
    <w:rsid w:val="002B4EEE"/>
    <w:rsid w:val="002F1D90"/>
    <w:rsid w:val="00303561"/>
    <w:rsid w:val="00305613"/>
    <w:rsid w:val="00367257"/>
    <w:rsid w:val="003D6EAA"/>
    <w:rsid w:val="00462F46"/>
    <w:rsid w:val="004D76B1"/>
    <w:rsid w:val="0052001C"/>
    <w:rsid w:val="0056227C"/>
    <w:rsid w:val="00586D3A"/>
    <w:rsid w:val="00587CF6"/>
    <w:rsid w:val="005B15F2"/>
    <w:rsid w:val="005F04CD"/>
    <w:rsid w:val="00643FF5"/>
    <w:rsid w:val="006446AC"/>
    <w:rsid w:val="00677121"/>
    <w:rsid w:val="0067715E"/>
    <w:rsid w:val="006B227C"/>
    <w:rsid w:val="006E3965"/>
    <w:rsid w:val="006F0F1C"/>
    <w:rsid w:val="006F5386"/>
    <w:rsid w:val="0070107A"/>
    <w:rsid w:val="007137E3"/>
    <w:rsid w:val="00750788"/>
    <w:rsid w:val="00787A32"/>
    <w:rsid w:val="007B7906"/>
    <w:rsid w:val="007C74F8"/>
    <w:rsid w:val="007D05AD"/>
    <w:rsid w:val="007E16CE"/>
    <w:rsid w:val="00840008"/>
    <w:rsid w:val="00845CC4"/>
    <w:rsid w:val="008827E2"/>
    <w:rsid w:val="008B5240"/>
    <w:rsid w:val="008B54EF"/>
    <w:rsid w:val="009B491C"/>
    <w:rsid w:val="009C466E"/>
    <w:rsid w:val="00A52FC1"/>
    <w:rsid w:val="00A76B76"/>
    <w:rsid w:val="00AA51F3"/>
    <w:rsid w:val="00AC2DB2"/>
    <w:rsid w:val="00B01026"/>
    <w:rsid w:val="00BB6D4D"/>
    <w:rsid w:val="00BD2CB0"/>
    <w:rsid w:val="00C24D2A"/>
    <w:rsid w:val="00C55F2A"/>
    <w:rsid w:val="00C93D42"/>
    <w:rsid w:val="00CA607F"/>
    <w:rsid w:val="00CB1F23"/>
    <w:rsid w:val="00CF24C9"/>
    <w:rsid w:val="00CF7F87"/>
    <w:rsid w:val="00D10183"/>
    <w:rsid w:val="00D23A4B"/>
    <w:rsid w:val="00D4673B"/>
    <w:rsid w:val="00D7293C"/>
    <w:rsid w:val="00D87407"/>
    <w:rsid w:val="00DA3EFA"/>
    <w:rsid w:val="00DF5787"/>
    <w:rsid w:val="00E25A32"/>
    <w:rsid w:val="00E26E2D"/>
    <w:rsid w:val="00E93FAF"/>
    <w:rsid w:val="00EB27D8"/>
    <w:rsid w:val="00ED40C1"/>
    <w:rsid w:val="00F13C32"/>
    <w:rsid w:val="00F26AF5"/>
    <w:rsid w:val="00F914E6"/>
    <w:rsid w:val="00FB69B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mw-headline">
    <w:name w:val="mw-headline"/>
    <w:basedOn w:val="Bekezdsalapbettpusa"/>
    <w:uiPriority w:val="99"/>
    <w:rsid w:val="00587CF6"/>
    <w:rPr>
      <w:rFonts w:cs="Times New Roman"/>
    </w:rPr>
  </w:style>
  <w:style w:type="paragraph" w:customStyle="1" w:styleId="CharChar1CharCharCharChar">
    <w:name w:val="Char Char1 Char Char Char Char"/>
    <w:basedOn w:val="Norml"/>
    <w:rsid w:val="0052001C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l"/>
    <w:rsid w:val="008827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mw-headline">
    <w:name w:val="mw-headline"/>
    <w:basedOn w:val="Bekezdsalapbettpusa"/>
    <w:uiPriority w:val="99"/>
    <w:rsid w:val="00587CF6"/>
    <w:rPr>
      <w:rFonts w:cs="Times New Roman"/>
    </w:rPr>
  </w:style>
  <w:style w:type="paragraph" w:customStyle="1" w:styleId="CharChar1CharCharCharChar">
    <w:name w:val="Char Char1 Char Char Char Char"/>
    <w:basedOn w:val="Norml"/>
    <w:rsid w:val="0052001C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l"/>
    <w:rsid w:val="008827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ey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2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2792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2013-06-10T08:20:00Z</cp:lastPrinted>
  <dcterms:created xsi:type="dcterms:W3CDTF">2018-12-06T14:51:00Z</dcterms:created>
  <dcterms:modified xsi:type="dcterms:W3CDTF">2018-12-06T14:51:00Z</dcterms:modified>
</cp:coreProperties>
</file>