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07" w:rsidRPr="00DE3B07" w:rsidRDefault="00DE3B07" w:rsidP="00DE3B0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E3B07">
        <w:rPr>
          <w:b/>
          <w:sz w:val="28"/>
          <w:szCs w:val="28"/>
          <w:u w:val="single"/>
        </w:rPr>
        <w:t>International and European personal data protection law</w:t>
      </w:r>
    </w:p>
    <w:p w:rsidR="00DE3B07" w:rsidRDefault="00DE3B07" w:rsidP="00DE3B07">
      <w:pPr>
        <w:spacing w:line="360" w:lineRule="auto"/>
        <w:rPr>
          <w:rFonts w:ascii="Arial" w:hAnsi="Arial" w:cs="Arial"/>
          <w:sz w:val="20"/>
          <w:szCs w:val="20"/>
        </w:rPr>
      </w:pPr>
    </w:p>
    <w:p w:rsidR="00DE3B07" w:rsidRDefault="00DE3B07" w:rsidP="00DE3B07">
      <w:pPr>
        <w:spacing w:line="360" w:lineRule="auto"/>
        <w:rPr>
          <w:rFonts w:ascii="Arial" w:hAnsi="Arial" w:cs="Arial"/>
          <w:sz w:val="20"/>
          <w:szCs w:val="20"/>
        </w:rPr>
      </w:pPr>
    </w:p>
    <w:p w:rsidR="00DE3B07" w:rsidRDefault="00DE3B07" w:rsidP="00DE3B07">
      <w:pPr>
        <w:spacing w:line="360" w:lineRule="auto"/>
      </w:pPr>
      <w:r w:rsidRPr="00DE3B07">
        <w:rPr>
          <w:b/>
        </w:rPr>
        <w:t>Lecturer</w:t>
      </w:r>
      <w:r w:rsidRPr="00DE3B07">
        <w:t xml:space="preserve">: Mateusz Gędźba </w:t>
      </w:r>
      <w:r>
        <w:t>–</w:t>
      </w:r>
      <w:r w:rsidRPr="00DE3B07">
        <w:t xml:space="preserve"> Krakow</w:t>
      </w:r>
    </w:p>
    <w:p w:rsidR="00DE3B07" w:rsidRPr="00DE3B07" w:rsidRDefault="00DE3B07" w:rsidP="00DE3B07">
      <w:pPr>
        <w:spacing w:line="360" w:lineRule="auto"/>
      </w:pPr>
      <w:r>
        <w:t xml:space="preserve">2 weeks long block seminar </w:t>
      </w:r>
      <w:proofErr w:type="spellStart"/>
      <w:r>
        <w:t>devided</w:t>
      </w:r>
      <w:proofErr w:type="spellEnd"/>
      <w:r>
        <w:t xml:space="preserve"> into 2 one week long </w:t>
      </w:r>
      <w:proofErr w:type="spellStart"/>
      <w:r>
        <w:t>moduls</w:t>
      </w:r>
      <w:proofErr w:type="spellEnd"/>
      <w:r>
        <w:t xml:space="preserve"> over the fall semester</w:t>
      </w:r>
    </w:p>
    <w:p w:rsidR="00DE3B07" w:rsidRPr="00DE3B07" w:rsidRDefault="00DE3B07" w:rsidP="00DE3B07">
      <w:pPr>
        <w:spacing w:line="360" w:lineRule="auto"/>
        <w:rPr>
          <w:u w:val="single"/>
        </w:rPr>
      </w:pPr>
    </w:p>
    <w:p w:rsidR="00DE3B07" w:rsidRPr="00DE3B07" w:rsidRDefault="00DE3B07" w:rsidP="00DE3B07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u w:val="single"/>
          <w:lang w:val="en-US"/>
        </w:rPr>
        <w:t>International personal data protection law</w:t>
      </w:r>
    </w:p>
    <w:p w:rsidR="00DE3B07" w:rsidRPr="00DE3B07" w:rsidRDefault="00DE3B07" w:rsidP="00DE3B07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Soft law</w:t>
      </w:r>
    </w:p>
    <w:p w:rsidR="00DE3B07" w:rsidRPr="00DE3B07" w:rsidRDefault="00DE3B07" w:rsidP="00DE3B07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OECD guidelines</w:t>
      </w:r>
    </w:p>
    <w:p w:rsidR="00DE3B07" w:rsidRPr="00DE3B07" w:rsidRDefault="00DE3B07" w:rsidP="00DE3B07">
      <w:pPr>
        <w:pStyle w:val="Listaszerbekezds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Recommendations issued by Council of Europe Committee of Ministers (example: Recommendation Rec(2010)13 to member states on the protection of individuals with regard to automatic processing of personal data in the context of profiling (Profiling Recommendation), 23 November 2010)</w:t>
      </w:r>
    </w:p>
    <w:p w:rsidR="00DE3B07" w:rsidRPr="00DE3B07" w:rsidRDefault="00DE3B07" w:rsidP="00DE3B07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Hard law</w:t>
      </w:r>
    </w:p>
    <w:p w:rsidR="00DE3B07" w:rsidRPr="00DE3B07" w:rsidRDefault="00DE3B07" w:rsidP="00DE3B07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European Convention on Human Rights:</w:t>
      </w:r>
    </w:p>
    <w:p w:rsidR="00DE3B07" w:rsidRPr="00DE3B07" w:rsidRDefault="00DE3B07" w:rsidP="00DE3B07">
      <w:pPr>
        <w:pStyle w:val="Listaszerbekezds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Description of relevant regulations (e.g. Article 8)</w:t>
      </w:r>
    </w:p>
    <w:p w:rsidR="00DE3B07" w:rsidRPr="00DE3B07" w:rsidRDefault="00DE3B07" w:rsidP="00DE3B07">
      <w:pPr>
        <w:pStyle w:val="Listaszerbekezds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Case law of European Court of Human Rights – the landmark cases: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Axel Springer AG v. Germany (Application no. </w:t>
      </w:r>
      <w:hyperlink r:id="rId7" w:anchor="%7B%22appno%22:[%2239954/08%22]%7D" w:tgtFrame="_blank" w:history="1">
        <w:r w:rsidRPr="00DE3B07">
          <w:rPr>
            <w:rFonts w:ascii="Times New Roman" w:hAnsi="Times New Roman" w:cs="Times New Roman"/>
            <w:sz w:val="24"/>
            <w:szCs w:val="24"/>
            <w:lang w:val="en-US"/>
          </w:rPr>
          <w:t>39954/08</w:t>
        </w:r>
      </w:hyperlink>
      <w:r w:rsidRPr="00DE3B07">
        <w:rPr>
          <w:rFonts w:ascii="Times New Roman" w:hAnsi="Times New Roman" w:cs="Times New Roman"/>
          <w:sz w:val="24"/>
          <w:szCs w:val="24"/>
          <w:lang w:val="en-US"/>
        </w:rPr>
        <w:t>) – balance between the right to data protection and freedom of expression;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Mosley v. The United Kingdom (Application no. </w:t>
      </w:r>
      <w:hyperlink r:id="rId8" w:anchor="%7B%22appno%22:[%2248009/08%22]%7D" w:tgtFrame="_blank" w:history="1">
        <w:r w:rsidRPr="00DE3B07">
          <w:rPr>
            <w:rFonts w:ascii="Times New Roman" w:hAnsi="Times New Roman" w:cs="Times New Roman"/>
            <w:sz w:val="24"/>
            <w:szCs w:val="24"/>
            <w:lang w:val="en-US"/>
          </w:rPr>
          <w:t>48009/08</w:t>
        </w:r>
      </w:hyperlink>
      <w:r w:rsidRPr="00DE3B07">
        <w:rPr>
          <w:rFonts w:ascii="Times New Roman" w:hAnsi="Times New Roman" w:cs="Times New Roman"/>
          <w:sz w:val="24"/>
          <w:szCs w:val="24"/>
          <w:lang w:val="en-US"/>
        </w:rPr>
        <w:t>) – balance between the right to data protection and freedom of expression;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Biriuk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v. Lithuania (Application no. No. 23373/03) - balance between the right to data protection and freedom of expression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>Vereinigung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Bildender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Künstler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v. Austria (Application no. </w:t>
      </w:r>
      <w:hyperlink r:id="rId9" w:anchor="%7B%22appno%22:[%2268354/01%22]%7D" w:tgtFrame="_blank" w:history="1">
        <w:r w:rsidRPr="00DE3B07">
          <w:rPr>
            <w:rFonts w:ascii="Times New Roman" w:hAnsi="Times New Roman" w:cs="Times New Roman"/>
            <w:sz w:val="24"/>
            <w:szCs w:val="24"/>
            <w:lang w:val="en-US"/>
          </w:rPr>
          <w:t>68354/01</w:t>
        </w:r>
      </w:hyperlink>
      <w:r w:rsidRPr="00DE3B07">
        <w:rPr>
          <w:rFonts w:ascii="Times New Roman" w:hAnsi="Times New Roman" w:cs="Times New Roman"/>
          <w:sz w:val="24"/>
          <w:szCs w:val="24"/>
          <w:lang w:val="en-US"/>
        </w:rPr>
        <w:t>)– balance between the right to data protection and freedom of arts and sciences;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Társaság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Szabadságjogokért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v. Hungary (Application no. </w:t>
      </w:r>
      <w:hyperlink r:id="rId10" w:anchor="%7B%22appno%22:[%2237374/05%22]%7D" w:tgtFrame="_blank" w:history="1">
        <w:r w:rsidRPr="00DE3B07">
          <w:rPr>
            <w:rFonts w:ascii="Times New Roman" w:hAnsi="Times New Roman" w:cs="Times New Roman"/>
            <w:sz w:val="24"/>
            <w:szCs w:val="24"/>
            <w:lang w:val="en-US"/>
          </w:rPr>
          <w:t>37374/05</w:t>
        </w:r>
      </w:hyperlink>
      <w:proofErr w:type="gramStart"/>
      <w:r w:rsidRPr="00DE3B07">
        <w:rPr>
          <w:rFonts w:ascii="Times New Roman" w:hAnsi="Times New Roman" w:cs="Times New Roman"/>
          <w:sz w:val="24"/>
          <w:szCs w:val="24"/>
          <w:lang w:val="en-US"/>
        </w:rPr>
        <w:t>)–</w:t>
      </w:r>
      <w:proofErr w:type="gram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balance between the right to data protection and the right of access to documents.;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Vereinigung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bildender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Künstler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v. Austria (Application no. No. 68345/01) - balance between the right to data protection and the freedom of the arts and sciences</w:t>
      </w:r>
    </w:p>
    <w:p w:rsidR="00DE3B07" w:rsidRPr="00DE3B07" w:rsidRDefault="00DE3B07" w:rsidP="00DE3B07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Council of Europe Convention n° 108 and its amendments</w:t>
      </w:r>
    </w:p>
    <w:p w:rsidR="00DE3B07" w:rsidRPr="00DE3B07" w:rsidRDefault="00DE3B07" w:rsidP="00DE3B07">
      <w:pPr>
        <w:pStyle w:val="Listaszerbekezds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History and territorial scope of the convention, it’s global character,</w:t>
      </w:r>
    </w:p>
    <w:p w:rsidR="00DE3B07" w:rsidRPr="00DE3B07" w:rsidRDefault="00DE3B07" w:rsidP="00DE3B07">
      <w:pPr>
        <w:pStyle w:val="Listaszerbekezds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New draft of amending Protocol (published after the session of Committee of Ministers on 17 – 18 May 2018).</w:t>
      </w:r>
    </w:p>
    <w:p w:rsidR="00DE3B07" w:rsidRPr="00DE3B07" w:rsidRDefault="00DE3B07" w:rsidP="00DE3B07">
      <w:pPr>
        <w:pStyle w:val="Listaszerbekezds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  <w:lang w:val="en-US"/>
        </w:rPr>
      </w:pPr>
    </w:p>
    <w:p w:rsidR="00DE3B07" w:rsidRPr="00DE3B07" w:rsidRDefault="00DE3B07" w:rsidP="00DE3B07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u w:val="single"/>
          <w:lang w:val="en-US"/>
        </w:rPr>
        <w:t>Law of European Union:</w:t>
      </w:r>
    </w:p>
    <w:p w:rsidR="00DE3B07" w:rsidRPr="00DE3B07" w:rsidRDefault="00DE3B07" w:rsidP="00DE3B07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Primary EU law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Treaty on the functioning of European Union – art. 6 (1) with the coming into force of the Lisbon Treaty on 1 December 2009 turned the Charter of Fundamental Rights into EU primary law;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Charter of Fundamental Rights of the EU </w:t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art. 7 (respect for private and family life) and art. 8 (right to data protection), art. 52 (limitations of right to data protection).</w:t>
      </w:r>
    </w:p>
    <w:p w:rsidR="00DE3B07" w:rsidRPr="00DE3B07" w:rsidRDefault="00DE3B07" w:rsidP="00DE3B07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Secondary law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Historical sources: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Directive 95/46/EC National (invalidated 25 May 2018);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Directive 2006/24/EC so called Data Retention Directive (invalidated 8 April 2014);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Applicable sources: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>Directives: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Directive 2002/58/EC so called Directive on privacy and electronic communications;</w:t>
      </w:r>
    </w:p>
    <w:p w:rsidR="00DE3B07" w:rsidRPr="00DE3B07" w:rsidRDefault="000347F9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DE3B07" w:rsidRPr="00DE3B07">
          <w:rPr>
            <w:rFonts w:ascii="Times New Roman" w:hAnsi="Times New Roman" w:cs="Times New Roman"/>
            <w:sz w:val="24"/>
            <w:szCs w:val="24"/>
            <w:lang w:val="en-US"/>
          </w:rPr>
          <w:t>Directive (EU) 2016/680</w:t>
        </w:r>
      </w:hyperlink>
      <w:r w:rsidR="00DE3B07"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so called Police Directive;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Regulations: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Regulation (EU) 45/2011; 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Regulation (EU) 2016/679 so called GDPR;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CJUE case law – landmark cases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Joined cases C-92/09 and C-93/09, Volker and Markus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Schecke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GbR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(C-92/09) and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Hartmut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Eifert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(C-93/09) v. Land Hessen;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Style w:val="bold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DE3B07">
        <w:rPr>
          <w:rFonts w:ascii="Times New Roman" w:hAnsi="Times New Roman" w:cs="Times New Roman"/>
          <w:sz w:val="24"/>
          <w:szCs w:val="24"/>
        </w:rPr>
        <w:t xml:space="preserve"> C</w:t>
      </w:r>
      <w:r w:rsidRPr="00DE3B07">
        <w:rPr>
          <w:rFonts w:ascii="Times New Roman" w:hAnsi="Times New Roman" w:cs="Times New Roman"/>
          <w:sz w:val="24"/>
          <w:szCs w:val="24"/>
        </w:rPr>
        <w:noBreakHyphen/>
        <w:t xml:space="preserve">131/12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Google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Spain SL,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Google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Inc. v.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Agencia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Española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Protección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Datos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(AEPD), Mario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Costeja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González; 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Style w:val="bold"/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 xml:space="preserve">Case C-582/14 Patrick Breyer v.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>Bundesrepublik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 xml:space="preserve"> Deutschland;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 xml:space="preserve">Case C-498/16 Maximilian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>Schrems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 xml:space="preserve"> v. Facebook</w:t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Ireland Ltd.;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Soft law: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Opinions of Article 29 Working Party (e.g. Opinion 4/2007 on the concept of personal data, WP 136, 20 June 2007);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Guidelines of European Data Protection Board (e.g. Guidelines 2/2018 on derogations of Article 49 under Regulation 2016/679).</w:t>
      </w:r>
    </w:p>
    <w:p w:rsidR="00DE3B07" w:rsidRPr="00DE3B07" w:rsidRDefault="00DE3B07" w:rsidP="00DE3B07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European Data Protection reform: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Historical background (Directive 95/46/EC – adopted in a completely different environment i.e. different level of internet access, the first attempts </w:t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>of reform 2012 – first official drafts, one of the most heavily lobbied pieces of legislation in the history of EU).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Current outcome (replacement of Directive 95/46/EC by GDPR, new regulations in the field of police related matters).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General Data Protection Regulation (GDPR) – specific provisions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Scope: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Direct result in EU (Article 288 TFEU, comparison between directive and regulation);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Applicability in EEA (incorporation of GDPR into EEA Agreement);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Material scope (comparison with convention n° 108, derogations listed in Article 2.2);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extraterritorial effect (establishment in EU, offering goods or services to EU citizens, monitoring the behavior of EU citizens – practical examples);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Key terms: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Personal data: 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3B0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is the limit of it, indirect identification (example: IP number – is it personal data?);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Special categories of personal data e.g. sensitive data (Article 6 of Convention n° 108, Article 9 GDPR, C-101/01,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Bodil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Lindqvist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>, 6 November 2003), personal data relating to criminal convictions (Article 10 GDPR, example of criminal background checks used in recruitment);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Data subject;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Processing – scope of the definition, case law: C-101/01,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Bodil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Lindqvist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>, 6 November 2003;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Filing system;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Controller and processor: 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Concept - Article 29 Working Party (2010), Opinion 1/2010 on the concepts of ‘controller’ and ‘processor’, WP 169, Brussels, 16 February 2010;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SWIFT case - Article 29 Working Party (2006), Opinion 10/2006 on the processing of personal data by the Society for Worldwide Interbank Financial Telecommunication (SWIFT), WP 128, Brussels, 22 November 2006;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Comparison of the scope of liability;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Data protection agreement – requirements of Article 28 GDPR.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Profiling – context: Big Data, Internet of Things (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IoT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>), behavioral advertising, Article 29 Working Party Guidelines on Automated individual decision-making and Profiling for the purposes of Regulation 2016/679.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Pseudonymisation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Supervisory Authority. 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Supervisory Authority Concerned.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The main principles of personal data processing: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Fairness and lawfulness;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Legal bases of processing (art. 6.1 GDPR);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Purpose limitation;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Proportionality;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Accuracy;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Storage limitation;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Integrity and confidentiality.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Data subject’s rights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>“the old rights” – the rights which had existed before GDPR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of access;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of rectification;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to file a claim with supervisory authority;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“the new rights” – the rights established by GDPR: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to data portability;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to restriction of processing;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Right to be forgotten; 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Right to object and </w:t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t>automated</w:t>
      </w: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individual decision-making.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Cross-</w:t>
      </w:r>
      <w:proofErr w:type="spellStart"/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broder</w:t>
      </w:r>
      <w:proofErr w:type="spellEnd"/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data transfers: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General principle for transfers;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Adequacy decision;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Transfers subject to appropriate</w:t>
      </w:r>
      <w:r w:rsidRPr="00DE3B07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  <w:lang w:val="en-US"/>
        </w:rPr>
        <w:t xml:space="preserve"> </w:t>
      </w: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safeguards: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legally binding and enforceable instrument between public authorities or bodies;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binding corporate rules;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standard data protection clauses adopted by the European Commission;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standard data protection clauses adopted by the European Commission adopted by a supervisory authority and approved by the Commission;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approved code of conduct;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approved certification mechanism</w:t>
      </w:r>
    </w:p>
    <w:p w:rsidR="00DE3B07" w:rsidRPr="00DE3B07" w:rsidRDefault="00DE3B07" w:rsidP="00DE3B07">
      <w:pPr>
        <w:spacing w:line="360" w:lineRule="auto"/>
        <w:rPr>
          <w:u w:val="single"/>
        </w:rPr>
      </w:pPr>
    </w:p>
    <w:p w:rsidR="00C914A3" w:rsidRPr="00DE3B07" w:rsidRDefault="00DE3B07" w:rsidP="00DE3B07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 w:rsidRPr="00DE3B07">
        <w:rPr>
          <w:rFonts w:ascii="Times New Roman" w:hAnsi="Times New Roman" w:cs="Times New Roman"/>
          <w:b/>
          <w:bCs/>
        </w:rPr>
        <w:t>Assessment</w:t>
      </w:r>
      <w:proofErr w:type="spellEnd"/>
    </w:p>
    <w:p w:rsidR="00DE3B07" w:rsidRDefault="00DE3B07" w:rsidP="00DE3B07">
      <w:pPr>
        <w:pStyle w:val="Default"/>
        <w:rPr>
          <w:rFonts w:ascii="Times New Roman" w:hAnsi="Times New Roman" w:cs="Times New Roman"/>
          <w:bCs/>
        </w:rPr>
      </w:pPr>
    </w:p>
    <w:p w:rsidR="00DE3B07" w:rsidRPr="00DE3B07" w:rsidRDefault="00DE3B07" w:rsidP="00DE3B07">
      <w:pPr>
        <w:pStyle w:val="Defaul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Written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open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book</w:t>
      </w:r>
      <w:proofErr w:type="spellEnd"/>
      <w:r>
        <w:rPr>
          <w:rFonts w:ascii="Times New Roman" w:hAnsi="Times New Roman" w:cs="Times New Roman"/>
          <w:bCs/>
        </w:rPr>
        <w:t xml:space="preserve">) </w:t>
      </w:r>
      <w:proofErr w:type="spellStart"/>
      <w:r>
        <w:rPr>
          <w:rFonts w:ascii="Times New Roman" w:hAnsi="Times New Roman" w:cs="Times New Roman"/>
          <w:bCs/>
        </w:rPr>
        <w:t>exam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on</w:t>
      </w:r>
      <w:proofErr w:type="spellEnd"/>
      <w:r w:rsidR="008438E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he </w:t>
      </w:r>
      <w:proofErr w:type="spellStart"/>
      <w:r>
        <w:rPr>
          <w:rFonts w:ascii="Times New Roman" w:hAnsi="Times New Roman" w:cs="Times New Roman"/>
          <w:bCs/>
        </w:rPr>
        <w:t>last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lesson</w:t>
      </w:r>
      <w:proofErr w:type="spellEnd"/>
    </w:p>
    <w:sectPr w:rsidR="00DE3B07" w:rsidRPr="00DE3B07" w:rsidSect="003638D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7F9" w:rsidRDefault="000347F9" w:rsidP="00B267E0">
      <w:r>
        <w:separator/>
      </w:r>
    </w:p>
  </w:endnote>
  <w:endnote w:type="continuationSeparator" w:id="0">
    <w:p w:rsidR="000347F9" w:rsidRDefault="000347F9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7F9" w:rsidRDefault="000347F9" w:rsidP="00B267E0">
      <w:r>
        <w:separator/>
      </w:r>
    </w:p>
  </w:footnote>
  <w:footnote w:type="continuationSeparator" w:id="0">
    <w:p w:rsidR="000347F9" w:rsidRDefault="000347F9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 wp14:anchorId="7DDE0D1A" wp14:editId="4AA99EA6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6838180D" wp14:editId="4AFF8B15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7321"/>
    <w:multiLevelType w:val="hybridMultilevel"/>
    <w:tmpl w:val="D9CE4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E3193"/>
    <w:multiLevelType w:val="hybridMultilevel"/>
    <w:tmpl w:val="42425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826CA"/>
    <w:multiLevelType w:val="hybridMultilevel"/>
    <w:tmpl w:val="7CDEB4D0"/>
    <w:lvl w:ilvl="0" w:tplc="AA82AE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347F9"/>
    <w:rsid w:val="000D0DD6"/>
    <w:rsid w:val="000D64FA"/>
    <w:rsid w:val="000F4C47"/>
    <w:rsid w:val="00100DD9"/>
    <w:rsid w:val="00114A03"/>
    <w:rsid w:val="00170FD5"/>
    <w:rsid w:val="001F5012"/>
    <w:rsid w:val="00223741"/>
    <w:rsid w:val="00294CD6"/>
    <w:rsid w:val="002B4EEE"/>
    <w:rsid w:val="00303561"/>
    <w:rsid w:val="00305613"/>
    <w:rsid w:val="003854A0"/>
    <w:rsid w:val="003D6EAA"/>
    <w:rsid w:val="003E5D7A"/>
    <w:rsid w:val="003F5124"/>
    <w:rsid w:val="00462F46"/>
    <w:rsid w:val="00500E54"/>
    <w:rsid w:val="00542F82"/>
    <w:rsid w:val="0056227C"/>
    <w:rsid w:val="00587A44"/>
    <w:rsid w:val="005F04CD"/>
    <w:rsid w:val="006347C8"/>
    <w:rsid w:val="006446AC"/>
    <w:rsid w:val="006722A2"/>
    <w:rsid w:val="00677121"/>
    <w:rsid w:val="0067715E"/>
    <w:rsid w:val="00677CD6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40008"/>
    <w:rsid w:val="008438E9"/>
    <w:rsid w:val="00845CC4"/>
    <w:rsid w:val="00864819"/>
    <w:rsid w:val="008B5240"/>
    <w:rsid w:val="008B54EF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D2CB0"/>
    <w:rsid w:val="00BD76AB"/>
    <w:rsid w:val="00C071B4"/>
    <w:rsid w:val="00C24D2A"/>
    <w:rsid w:val="00C55F2A"/>
    <w:rsid w:val="00C5677A"/>
    <w:rsid w:val="00C914A3"/>
    <w:rsid w:val="00C93D42"/>
    <w:rsid w:val="00CF24C9"/>
    <w:rsid w:val="00CF7F87"/>
    <w:rsid w:val="00D10183"/>
    <w:rsid w:val="00D23A4B"/>
    <w:rsid w:val="00D7293C"/>
    <w:rsid w:val="00D7731C"/>
    <w:rsid w:val="00D87407"/>
    <w:rsid w:val="00DE3B07"/>
    <w:rsid w:val="00DF5787"/>
    <w:rsid w:val="00E01CE1"/>
    <w:rsid w:val="00E26E2D"/>
    <w:rsid w:val="00EB27D8"/>
    <w:rsid w:val="00EE51FE"/>
    <w:rsid w:val="00F13C32"/>
    <w:rsid w:val="00F275C1"/>
    <w:rsid w:val="00FF2B0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7D275C7-DB06-4168-9483-5C40AB7F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bold">
    <w:name w:val="bold"/>
    <w:basedOn w:val="Bekezdsalapbettpusa"/>
    <w:rsid w:val="00DE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oc.echr.coe.int/e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udoc.echr.coe.int/en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law/law-topic/data-protection/data-protection-eu_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hudoc.echr.coe.int/e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doc.echr.coe.int/en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2</TotalTime>
  <Pages>6</Pages>
  <Words>888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7003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3</cp:revision>
  <cp:lastPrinted>2012-01-06T15:03:00Z</cp:lastPrinted>
  <dcterms:created xsi:type="dcterms:W3CDTF">2018-06-29T13:31:00Z</dcterms:created>
  <dcterms:modified xsi:type="dcterms:W3CDTF">2019-05-15T12:40:00Z</dcterms:modified>
</cp:coreProperties>
</file>