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AB2123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CHANGING DYNAMICS OF PARLIAMENTS</w:t>
      </w:r>
    </w:p>
    <w:p w:rsidR="000E6630" w:rsidRDefault="000E6630" w:rsidP="000E6630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462CE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 w:rsidRPr="000E66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: </w:t>
      </w:r>
      <w:r w:rsidR="00E67F7C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Dr.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Alvaro</w:t>
      </w:r>
      <w:proofErr w:type="spellEnd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Cabrera</w:t>
      </w:r>
      <w:proofErr w:type="spellEnd"/>
      <w:r w:rsid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PhD</w:t>
      </w:r>
      <w:r w:rsid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- </w:t>
      </w:r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Institute of </w:t>
      </w:r>
      <w:proofErr w:type="spellStart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="00AB2123" w:rsidRPr="00AB2123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Science (ELTE)</w:t>
      </w:r>
    </w:p>
    <w:p w:rsid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8" w:history="1">
        <w:r w:rsidRPr="004922A6">
          <w:rPr>
            <w:rStyle w:val="Hiperhivatkozs"/>
            <w:rFonts w:ascii="Times New Roman" w:eastAsia="MS Mincho" w:hAnsi="Times New Roman" w:cs="Times New Roman"/>
            <w:bCs/>
            <w:sz w:val="24"/>
            <w:szCs w:val="24"/>
          </w:rPr>
          <w:t>alvarocabreraphd@gmail.com</w:t>
        </w:r>
      </w:hyperlink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Availability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appointment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description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main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life?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agenda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consequences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digital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age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?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The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principal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idea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introduce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latest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life,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sometimes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European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However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additional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examples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Australia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South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America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During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combine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point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view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 more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theoretical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per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pective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.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Despite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that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isntitutions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important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institutional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methodology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based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have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occured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recently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going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understand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examine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follows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: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Hungarian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National Assembly;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enhance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legislative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function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changing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oversight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activities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influence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international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cooperation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e-parliament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models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ways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proofErr w:type="gram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between</w:t>
      </w:r>
      <w:proofErr w:type="spellEnd"/>
      <w:proofErr w:type="gram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  <w:t xml:space="preserve">e-petition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systems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citizen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online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fora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ind w:left="705" w:hanging="705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problem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from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new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communication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forms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possible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inclusion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methods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; 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autonomy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regulatory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impact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analysis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foresight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studies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;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-</w:t>
      </w:r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ab/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Although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focus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development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connect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these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existing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parliamentary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tradition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practice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.</w:t>
      </w: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Assessment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Regular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attendance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needed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students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allowed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skip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two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classes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semester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).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One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essay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to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written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submitted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before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last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session (1 500 and 2 500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words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educational</w:t>
      </w:r>
      <w:proofErr w:type="spellEnd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resources</w:t>
      </w:r>
      <w:proofErr w:type="spellEnd"/>
    </w:p>
    <w:p w:rsidR="009609EE" w:rsidRPr="009609EE" w:rsidRDefault="009609EE" w:rsidP="009609EE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</w:rPr>
      </w:pP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selected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literature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other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resources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will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be </w:t>
      </w:r>
      <w:proofErr w:type="spellStart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provided</w:t>
      </w:r>
      <w:proofErr w:type="spellEnd"/>
      <w:r w:rsidRPr="009609EE"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websit</w:t>
      </w:r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of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the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course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is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coming</w:t>
      </w:r>
      <w:proofErr w:type="spellEnd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609EE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soon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</w:rPr>
        <w:t>)</w:t>
      </w:r>
    </w:p>
    <w:sectPr w:rsidR="009609EE" w:rsidRPr="009609EE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3A" w:rsidRDefault="0070703A" w:rsidP="006A3E9F">
      <w:pPr>
        <w:spacing w:after="0" w:line="240" w:lineRule="auto"/>
      </w:pPr>
      <w:r>
        <w:separator/>
      </w:r>
    </w:p>
  </w:endnote>
  <w:endnote w:type="continuationSeparator" w:id="0">
    <w:p w:rsidR="0070703A" w:rsidRDefault="0070703A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3A" w:rsidRDefault="0070703A" w:rsidP="006A3E9F">
      <w:pPr>
        <w:spacing w:after="0" w:line="240" w:lineRule="auto"/>
      </w:pPr>
      <w:r>
        <w:separator/>
      </w:r>
    </w:p>
  </w:footnote>
  <w:footnote w:type="continuationSeparator" w:id="0">
    <w:p w:rsidR="0070703A" w:rsidRDefault="0070703A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64D8"/>
    <w:rsid w:val="006A370D"/>
    <w:rsid w:val="006A3E9F"/>
    <w:rsid w:val="006B41A4"/>
    <w:rsid w:val="0070193A"/>
    <w:rsid w:val="0070703A"/>
    <w:rsid w:val="007258B7"/>
    <w:rsid w:val="007317AD"/>
    <w:rsid w:val="008B251A"/>
    <w:rsid w:val="008C6F6E"/>
    <w:rsid w:val="008E334E"/>
    <w:rsid w:val="00907F12"/>
    <w:rsid w:val="0093128C"/>
    <w:rsid w:val="00957CD4"/>
    <w:rsid w:val="009609EE"/>
    <w:rsid w:val="009D28C1"/>
    <w:rsid w:val="00A34386"/>
    <w:rsid w:val="00A40DF6"/>
    <w:rsid w:val="00A66710"/>
    <w:rsid w:val="00AB2123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E67F7C"/>
    <w:rsid w:val="00F261A7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cabrerap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2BE0-8236-44DE-BD60-40E8C2F1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2019-05-15T13:18:00Z</dcterms:created>
  <dcterms:modified xsi:type="dcterms:W3CDTF">2019-05-20T07:27:00Z</dcterms:modified>
</cp:coreProperties>
</file>