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00" w:rsidRPr="00187100" w:rsidRDefault="00F43B14" w:rsidP="00187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PUBLIC POLICY: THEORIES, PROBLEMS, SOLUTIONS</w:t>
      </w:r>
      <w:bookmarkStart w:id="0" w:name="_GoBack"/>
      <w:bookmarkEnd w:id="0"/>
    </w:p>
    <w:p w:rsidR="00187100" w:rsidRPr="00187100" w:rsidRDefault="00187100" w:rsidP="00187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100" w:rsidRPr="00187100" w:rsidRDefault="00187100" w:rsidP="0018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11AA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: Katalin Ámon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7100">
        <w:rPr>
          <w:rFonts w:ascii="Times New Roman" w:hAnsi="Times New Roman" w:cs="Times New Roman"/>
          <w:sz w:val="24"/>
          <w:szCs w:val="24"/>
        </w:rPr>
        <w:t xml:space="preserve">Institute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 xml:space="preserve"> (ELTE)</w:t>
      </w:r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1AA" w:rsidRDefault="00187100" w:rsidP="0018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Thursdays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12-14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pm</w:t>
      </w:r>
      <w:proofErr w:type="spellEnd"/>
      <w:r w:rsidR="00771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100" w:rsidRDefault="007711AA" w:rsidP="0018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1AA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7F0E7A">
          <w:rPr>
            <w:rStyle w:val="Hiperhivatkozs"/>
            <w:rFonts w:ascii="Times New Roman" w:hAnsi="Times New Roman" w:cs="Times New Roman"/>
            <w:sz w:val="24"/>
            <w:szCs w:val="24"/>
          </w:rPr>
          <w:t>Amon_Katalin@phd.ceu.edu</w:t>
        </w:r>
      </w:hyperlink>
    </w:p>
    <w:p w:rsidR="00187100" w:rsidRPr="00187100" w:rsidRDefault="00187100" w:rsidP="00187100">
      <w:pPr>
        <w:rPr>
          <w:rFonts w:ascii="Times New Roman" w:hAnsi="Times New Roman" w:cs="Times New Roman"/>
          <w:sz w:val="24"/>
          <w:szCs w:val="24"/>
        </w:rPr>
      </w:pPr>
    </w:p>
    <w:p w:rsidR="00187100" w:rsidRPr="00187100" w:rsidRDefault="00187100" w:rsidP="001871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</w:p>
    <w:p w:rsidR="00187100" w:rsidRPr="00187100" w:rsidRDefault="00187100" w:rsidP="001871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Public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discipline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perceived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scholarly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endeavour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democracies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Evidence-based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supposed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more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debate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criticize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depoliticizing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excluding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evidence-based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truly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exists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is an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controversial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100" w:rsidRPr="00187100" w:rsidRDefault="00187100" w:rsidP="001871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dilemmas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arising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dilemmas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greatly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depends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one’s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controversies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dilemmas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origins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Public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discipline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.</w:t>
      </w:r>
    </w:p>
    <w:p w:rsidR="00187100" w:rsidRPr="00187100" w:rsidRDefault="00187100" w:rsidP="001871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shapes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conceptualized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everdyday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life. The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introduces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real-life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dismissed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87100" w:rsidRPr="00187100" w:rsidRDefault="00187100" w:rsidP="001871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b/>
          <w:sz w:val="24"/>
          <w:szCs w:val="24"/>
        </w:rPr>
        <w:t>Learning</w:t>
      </w:r>
      <w:proofErr w:type="spellEnd"/>
      <w:r w:rsidRPr="001871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b/>
          <w:sz w:val="24"/>
          <w:szCs w:val="24"/>
        </w:rPr>
        <w:t>outcomes</w:t>
      </w:r>
      <w:proofErr w:type="spellEnd"/>
    </w:p>
    <w:p w:rsidR="00187100" w:rsidRPr="00187100" w:rsidRDefault="00187100" w:rsidP="00187100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710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making</w:t>
      </w:r>
      <w:proofErr w:type="spellEnd"/>
    </w:p>
    <w:p w:rsidR="00187100" w:rsidRPr="00187100" w:rsidRDefault="00187100" w:rsidP="00187100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710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process</w:t>
      </w:r>
      <w:proofErr w:type="spellEnd"/>
    </w:p>
    <w:p w:rsidR="00187100" w:rsidRPr="00187100" w:rsidRDefault="00187100" w:rsidP="00187100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710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real-life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practice</w:t>
      </w:r>
      <w:proofErr w:type="spellEnd"/>
    </w:p>
    <w:p w:rsidR="00187100" w:rsidRPr="00187100" w:rsidRDefault="00187100" w:rsidP="00187100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710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communicate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oral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forms</w:t>
      </w:r>
      <w:proofErr w:type="spellEnd"/>
    </w:p>
    <w:p w:rsidR="00187100" w:rsidRPr="00187100" w:rsidRDefault="00187100" w:rsidP="00187100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187100" w:rsidRPr="00187100" w:rsidRDefault="00187100" w:rsidP="001871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1871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</w:p>
    <w:p w:rsidR="00187100" w:rsidRPr="00187100" w:rsidRDefault="00187100" w:rsidP="00187100">
      <w:pPr>
        <w:rPr>
          <w:rFonts w:ascii="Times New Roman" w:hAnsi="Times New Roman" w:cs="Times New Roman"/>
          <w:sz w:val="24"/>
          <w:szCs w:val="24"/>
        </w:rPr>
      </w:pPr>
      <w:r w:rsidRPr="0018710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13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lasts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:</w:t>
      </w:r>
    </w:p>
    <w:p w:rsidR="00187100" w:rsidRPr="00187100" w:rsidRDefault="00187100" w:rsidP="0018710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is Public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discipline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87100" w:rsidRPr="00187100" w:rsidRDefault="00187100" w:rsidP="0018710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assume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kinds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?</w:t>
      </w:r>
    </w:p>
    <w:p w:rsidR="00187100" w:rsidRPr="00187100" w:rsidRDefault="00187100" w:rsidP="0018710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frame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framing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?</w:t>
      </w:r>
    </w:p>
    <w:p w:rsidR="00187100" w:rsidRPr="00187100" w:rsidRDefault="00187100" w:rsidP="0018710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lastRenderedPageBreak/>
        <w:t>What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?</w:t>
      </w:r>
    </w:p>
    <w:p w:rsidR="00187100" w:rsidRPr="00187100" w:rsidRDefault="00187100" w:rsidP="0018710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kinds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arise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?</w:t>
      </w:r>
    </w:p>
    <w:p w:rsidR="00187100" w:rsidRPr="00187100" w:rsidRDefault="00187100" w:rsidP="0018710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?</w:t>
      </w:r>
    </w:p>
    <w:p w:rsidR="00187100" w:rsidRPr="00187100" w:rsidRDefault="00187100" w:rsidP="0018710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and vice versa?</w:t>
      </w:r>
    </w:p>
    <w:p w:rsidR="00187100" w:rsidRPr="00187100" w:rsidRDefault="00187100" w:rsidP="001871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68"/>
        <w:gridCol w:w="4410"/>
        <w:gridCol w:w="3584"/>
      </w:tblGrid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readings</w:t>
            </w:r>
            <w:proofErr w:type="spellEnd"/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1 Hill et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Public Policy and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Evidence-Based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Policy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3 Fischer et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proofErr w:type="gram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Moran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Public Policy and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Citizenship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Dósa 2018,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Haney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2002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Interpreting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Policy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: Policy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Frames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Krizsán et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. 2012</w:t>
            </w:r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a Policy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Brief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Part III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Moran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proofErr w:type="gram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policy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briefs</w:t>
            </w:r>
            <w:proofErr w:type="spellEnd"/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Policy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: The Policy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Approach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4 Fischer et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Agenda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Policy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5 Fischer et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Public Policy and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Decision-Making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6 Fischer et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Policy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9 Hill,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Lipsky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Policy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Responsiveness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Accountability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Gilens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of Policy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Experts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11 Fischer,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Beveridge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Globalization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and Public Policy</w:t>
            </w:r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Moran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100" w:rsidRPr="00187100" w:rsidTr="005908C3">
        <w:tc>
          <w:tcPr>
            <w:tcW w:w="1068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Conclusions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</w:p>
        </w:tc>
        <w:tc>
          <w:tcPr>
            <w:tcW w:w="3584" w:type="dxa"/>
          </w:tcPr>
          <w:p w:rsidR="00187100" w:rsidRPr="00187100" w:rsidRDefault="00187100" w:rsidP="0059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00">
              <w:rPr>
                <w:rFonts w:ascii="Times New Roman" w:hAnsi="Times New Roman" w:cs="Times New Roman"/>
                <w:sz w:val="24"/>
                <w:szCs w:val="24"/>
              </w:rPr>
              <w:t>readings</w:t>
            </w:r>
            <w:proofErr w:type="spellEnd"/>
          </w:p>
        </w:tc>
      </w:tr>
    </w:tbl>
    <w:p w:rsidR="00187100" w:rsidRDefault="00187100" w:rsidP="00187100">
      <w:pPr>
        <w:rPr>
          <w:rFonts w:ascii="Times New Roman" w:hAnsi="Times New Roman" w:cs="Times New Roman"/>
          <w:sz w:val="24"/>
          <w:szCs w:val="24"/>
        </w:rPr>
      </w:pPr>
    </w:p>
    <w:p w:rsidR="00187100" w:rsidRPr="00187100" w:rsidRDefault="00187100" w:rsidP="001871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1871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b/>
          <w:sz w:val="24"/>
          <w:szCs w:val="24"/>
        </w:rPr>
        <w:t>readings</w:t>
      </w:r>
      <w:proofErr w:type="spellEnd"/>
    </w:p>
    <w:p w:rsidR="00187100" w:rsidRPr="00187100" w:rsidRDefault="00187100" w:rsidP="00187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Beveridge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, R. 2012. “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Consultants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depoliticization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arena-shifting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privatizing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Berlin.” </w:t>
      </w:r>
      <w:r w:rsidRPr="00187100">
        <w:rPr>
          <w:rFonts w:ascii="Times New Roman" w:hAnsi="Times New Roman" w:cs="Times New Roman"/>
          <w:i/>
          <w:sz w:val="24"/>
          <w:szCs w:val="24"/>
        </w:rPr>
        <w:t xml:space="preserve">Policy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, 45: 47-68.</w:t>
      </w:r>
    </w:p>
    <w:p w:rsidR="00187100" w:rsidRPr="00187100" w:rsidRDefault="00187100" w:rsidP="0018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00" w:rsidRPr="00187100" w:rsidRDefault="00187100" w:rsidP="00187100">
      <w:pPr>
        <w:rPr>
          <w:rFonts w:ascii="Times New Roman" w:hAnsi="Times New Roman" w:cs="Times New Roman"/>
          <w:sz w:val="24"/>
          <w:szCs w:val="24"/>
        </w:rPr>
      </w:pPr>
      <w:r w:rsidRPr="00187100">
        <w:rPr>
          <w:rFonts w:ascii="Times New Roman" w:hAnsi="Times New Roman" w:cs="Times New Roman"/>
          <w:sz w:val="24"/>
          <w:szCs w:val="24"/>
        </w:rPr>
        <w:t>Dósa, M. 2018. “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Intersections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100">
        <w:rPr>
          <w:rFonts w:ascii="Times New Roman" w:hAnsi="Times New Roman" w:cs="Times New Roman"/>
          <w:sz w:val="24"/>
          <w:szCs w:val="24"/>
        </w:rPr>
        <w:t>4(</w:t>
      </w:r>
      <w:proofErr w:type="gramEnd"/>
      <w:r w:rsidRPr="00187100">
        <w:rPr>
          <w:rFonts w:ascii="Times New Roman" w:hAnsi="Times New Roman" w:cs="Times New Roman"/>
          <w:sz w:val="24"/>
          <w:szCs w:val="24"/>
        </w:rPr>
        <w:t>1), 45-65.</w:t>
      </w:r>
    </w:p>
    <w:p w:rsidR="00187100" w:rsidRPr="00187100" w:rsidRDefault="00187100" w:rsidP="00187100">
      <w:pPr>
        <w:rPr>
          <w:rFonts w:ascii="Times New Roman" w:hAnsi="Times New Roman" w:cs="Times New Roman"/>
          <w:sz w:val="24"/>
          <w:szCs w:val="24"/>
        </w:rPr>
      </w:pPr>
      <w:r w:rsidRPr="00187100">
        <w:rPr>
          <w:rFonts w:ascii="Times New Roman" w:hAnsi="Times New Roman" w:cs="Times New Roman"/>
          <w:sz w:val="24"/>
          <w:szCs w:val="24"/>
        </w:rPr>
        <w:t>Fischer, F</w:t>
      </w:r>
      <w:proofErr w:type="gramStart"/>
      <w:r w:rsidRPr="0018710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Millard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, G. J</w:t>
      </w:r>
      <w:proofErr w:type="gramStart"/>
      <w:r w:rsidRPr="0018710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Sidney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, M. S. (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.) 2007.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Handbook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of Public Policy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Methods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Boca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Raton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Fl</w:t>
      </w:r>
      <w:proofErr w:type="spellEnd"/>
      <w:proofErr w:type="gramStart"/>
      <w:r w:rsidRPr="0018710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187100">
        <w:rPr>
          <w:rFonts w:ascii="Times New Roman" w:hAnsi="Times New Roman" w:cs="Times New Roman"/>
          <w:sz w:val="24"/>
          <w:szCs w:val="24"/>
        </w:rPr>
        <w:t>CRC Press (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Chapters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3-6, 11)</w:t>
      </w:r>
    </w:p>
    <w:p w:rsidR="00187100" w:rsidRPr="00187100" w:rsidRDefault="00187100" w:rsidP="001871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Gilens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B. 2014. “Testing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American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: Elites, Interest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Perspectives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7100">
        <w:rPr>
          <w:rFonts w:ascii="Times New Roman" w:hAnsi="Times New Roman" w:cs="Times New Roman"/>
          <w:sz w:val="24"/>
          <w:szCs w:val="24"/>
        </w:rPr>
        <w:t>12(</w:t>
      </w:r>
      <w:proofErr w:type="gramEnd"/>
      <w:r w:rsidRPr="00187100">
        <w:rPr>
          <w:rFonts w:ascii="Times New Roman" w:hAnsi="Times New Roman" w:cs="Times New Roman"/>
          <w:sz w:val="24"/>
          <w:szCs w:val="24"/>
        </w:rPr>
        <w:t xml:space="preserve">3), 564-581.  </w:t>
      </w:r>
    </w:p>
    <w:p w:rsidR="00187100" w:rsidRPr="00187100" w:rsidRDefault="00187100" w:rsidP="0018710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lastRenderedPageBreak/>
        <w:t>Haney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, L. 2002. “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Conceptualizing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Inventing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Needy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Gender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Welfare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Hungary</w:t>
      </w:r>
      <w:r w:rsidRPr="00187100">
        <w:rPr>
          <w:rFonts w:ascii="Times New Roman" w:hAnsi="Times New Roman" w:cs="Times New Roman"/>
          <w:sz w:val="24"/>
          <w:szCs w:val="24"/>
        </w:rPr>
        <w:t xml:space="preserve">. Berkeley: University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Press, 1-25.</w:t>
      </w:r>
    </w:p>
    <w:p w:rsidR="00187100" w:rsidRPr="00187100" w:rsidRDefault="00187100" w:rsidP="0018710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7100">
        <w:rPr>
          <w:rFonts w:ascii="Times New Roman" w:hAnsi="Times New Roman" w:cs="Times New Roman"/>
          <w:sz w:val="24"/>
          <w:szCs w:val="24"/>
        </w:rPr>
        <w:t xml:space="preserve">Hill, M. 2005. </w:t>
      </w:r>
      <w:r w:rsidRPr="00187100">
        <w:rPr>
          <w:rFonts w:ascii="Times New Roman" w:hAnsi="Times New Roman" w:cs="Times New Roman"/>
          <w:i/>
          <w:sz w:val="24"/>
          <w:szCs w:val="24"/>
        </w:rPr>
        <w:t xml:space="preserve">The Public Policy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Process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Edinburgh: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Education Ltd. (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187100" w:rsidRPr="00187100" w:rsidRDefault="00187100" w:rsidP="0018710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7100">
        <w:rPr>
          <w:rFonts w:ascii="Times New Roman" w:hAnsi="Times New Roman" w:cs="Times New Roman"/>
          <w:sz w:val="24"/>
          <w:szCs w:val="24"/>
        </w:rPr>
        <w:t xml:space="preserve">Krizsán, A. et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Critical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Frame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: https://cps.ceu.edu/publications/workingpapers/critical-frame-analysis-quing</w:t>
      </w:r>
    </w:p>
    <w:p w:rsidR="00187100" w:rsidRPr="00187100" w:rsidRDefault="00187100" w:rsidP="001871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Lipsky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M. 2010. “The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Lipsky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M. 2010.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Street-Level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Bucreaucracy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Dilemmas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Individual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Public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Services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Bew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York: Russell Sage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, 29-39.</w:t>
      </w:r>
    </w:p>
    <w:p w:rsidR="00187100" w:rsidRPr="00187100" w:rsidRDefault="00187100" w:rsidP="0018710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Moran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, M., and Goodin, R. E. (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.) 2006. </w:t>
      </w:r>
      <w:r w:rsidRPr="00187100">
        <w:rPr>
          <w:rFonts w:ascii="Times New Roman" w:hAnsi="Times New Roman" w:cs="Times New Roman"/>
          <w:i/>
          <w:sz w:val="24"/>
          <w:szCs w:val="24"/>
        </w:rPr>
        <w:t xml:space="preserve">The Oxford </w:t>
      </w:r>
      <w:proofErr w:type="spellStart"/>
      <w:r w:rsidRPr="00187100">
        <w:rPr>
          <w:rFonts w:ascii="Times New Roman" w:hAnsi="Times New Roman" w:cs="Times New Roman"/>
          <w:i/>
          <w:sz w:val="24"/>
          <w:szCs w:val="24"/>
        </w:rPr>
        <w:t>Handbook</w:t>
      </w:r>
      <w:proofErr w:type="spellEnd"/>
      <w:r w:rsidRPr="00187100">
        <w:rPr>
          <w:rFonts w:ascii="Times New Roman" w:hAnsi="Times New Roman" w:cs="Times New Roman"/>
          <w:i/>
          <w:sz w:val="24"/>
          <w:szCs w:val="24"/>
        </w:rPr>
        <w:t xml:space="preserve"> of Public Policy</w:t>
      </w:r>
      <w:r w:rsidRPr="00187100">
        <w:rPr>
          <w:rFonts w:ascii="Times New Roman" w:hAnsi="Times New Roman" w:cs="Times New Roman"/>
          <w:sz w:val="24"/>
          <w:szCs w:val="24"/>
        </w:rPr>
        <w:t>. Oxford and New York: Oxford University Press (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Chapters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2, 29, Part III)</w:t>
      </w:r>
    </w:p>
    <w:p w:rsidR="00187100" w:rsidRPr="00187100" w:rsidRDefault="00187100" w:rsidP="001871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Pr="0018710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87100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</w:p>
    <w:p w:rsidR="00187100" w:rsidRPr="00187100" w:rsidRDefault="00187100" w:rsidP="001871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assignments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assignment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session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:</w:t>
      </w:r>
    </w:p>
    <w:p w:rsidR="00187100" w:rsidRPr="00187100" w:rsidRDefault="00187100" w:rsidP="0018710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30%</w:t>
      </w:r>
    </w:p>
    <w:p w:rsidR="00187100" w:rsidRPr="00187100" w:rsidRDefault="00187100" w:rsidP="00187100">
      <w:pPr>
        <w:pStyle w:val="Listaszerbekezds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Responding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posted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10%</w:t>
      </w:r>
    </w:p>
    <w:p w:rsidR="00187100" w:rsidRPr="00187100" w:rsidRDefault="00187100" w:rsidP="00187100">
      <w:pPr>
        <w:pStyle w:val="Listaszerbekezds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10%</w:t>
      </w:r>
    </w:p>
    <w:p w:rsidR="00187100" w:rsidRPr="00187100" w:rsidRDefault="00187100" w:rsidP="00187100">
      <w:pPr>
        <w:pStyle w:val="Listaszerbekezds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plenary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10%</w:t>
      </w:r>
    </w:p>
    <w:p w:rsidR="00187100" w:rsidRPr="00187100" w:rsidRDefault="00187100" w:rsidP="0018710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Assignment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(1500-2000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) 50%</w:t>
      </w:r>
    </w:p>
    <w:p w:rsidR="00187100" w:rsidRPr="00187100" w:rsidRDefault="00187100" w:rsidP="0018710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assignment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poster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briefs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>) 20%</w:t>
      </w:r>
    </w:p>
    <w:p w:rsidR="00187100" w:rsidRPr="00187100" w:rsidRDefault="00187100" w:rsidP="001871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  <w:u w:val="single"/>
        </w:rPr>
        <w:t>Participation</w:t>
      </w:r>
      <w:proofErr w:type="spellEnd"/>
      <w:r w:rsidRPr="001871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7100" w:rsidRPr="00187100" w:rsidRDefault="00187100" w:rsidP="001871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posted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12 am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plenary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grades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plenary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miss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session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explanation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100" w:rsidRPr="00187100" w:rsidRDefault="00187100" w:rsidP="001871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100">
        <w:rPr>
          <w:rFonts w:ascii="Times New Roman" w:hAnsi="Times New Roman" w:cs="Times New Roman"/>
          <w:sz w:val="24"/>
          <w:szCs w:val="24"/>
          <w:u w:val="single"/>
        </w:rPr>
        <w:t xml:space="preserve">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  <w:u w:val="single"/>
        </w:rPr>
        <w:t>brief</w:t>
      </w:r>
      <w:proofErr w:type="spellEnd"/>
      <w:r w:rsidRPr="001871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7100" w:rsidRPr="00187100" w:rsidRDefault="00187100" w:rsidP="00187100">
      <w:pPr>
        <w:jc w:val="both"/>
        <w:rPr>
          <w:rFonts w:ascii="Times New Roman" w:hAnsi="Times New Roman" w:cs="Times New Roman"/>
          <w:sz w:val="24"/>
          <w:szCs w:val="24"/>
        </w:rPr>
      </w:pPr>
      <w:r w:rsidRPr="00187100">
        <w:rPr>
          <w:rFonts w:ascii="Times New Roman" w:hAnsi="Times New Roman" w:cs="Times New Roman"/>
          <w:sz w:val="24"/>
          <w:szCs w:val="24"/>
        </w:rPr>
        <w:t xml:space="preserve">A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concise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a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a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assignment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is a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1500-2000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assignment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10th.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November 7th,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lastRenderedPageBreak/>
        <w:t>overview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November 21st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version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December 10th. </w:t>
      </w:r>
    </w:p>
    <w:p w:rsidR="00187100" w:rsidRPr="00187100" w:rsidRDefault="00187100" w:rsidP="001871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  <w:u w:val="single"/>
        </w:rPr>
        <w:t>Poster</w:t>
      </w:r>
      <w:proofErr w:type="spellEnd"/>
      <w:r w:rsidRPr="001871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  <w:u w:val="single"/>
        </w:rPr>
        <w:t>presentation</w:t>
      </w:r>
      <w:proofErr w:type="spellEnd"/>
      <w:r w:rsidRPr="001871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7100" w:rsidRPr="00187100" w:rsidRDefault="00187100" w:rsidP="001871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briefs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poster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poster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session. The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individually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of team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briefs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highlight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broader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0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187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100" w:rsidRDefault="00187100" w:rsidP="00187100"/>
    <w:p w:rsidR="00E61235" w:rsidRPr="00187100" w:rsidRDefault="00E61235" w:rsidP="00187100"/>
    <w:sectPr w:rsidR="00E61235" w:rsidRPr="00187100" w:rsidSect="007A02E8">
      <w:headerReference w:type="default" r:id="rId9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EBC" w:rsidRDefault="00054EBC" w:rsidP="006A3E9F">
      <w:pPr>
        <w:spacing w:after="0" w:line="240" w:lineRule="auto"/>
      </w:pPr>
      <w:r>
        <w:separator/>
      </w:r>
    </w:p>
  </w:endnote>
  <w:endnote w:type="continuationSeparator" w:id="0">
    <w:p w:rsidR="00054EBC" w:rsidRDefault="00054EBC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EBC" w:rsidRDefault="00054EBC" w:rsidP="006A3E9F">
      <w:pPr>
        <w:spacing w:after="0" w:line="240" w:lineRule="auto"/>
      </w:pPr>
      <w:r>
        <w:separator/>
      </w:r>
    </w:p>
  </w:footnote>
  <w:footnote w:type="continuationSeparator" w:id="0">
    <w:p w:rsidR="00054EBC" w:rsidRDefault="00054EBC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750DF0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30A2BFB" wp14:editId="0845EFBD">
          <wp:simplePos x="0" y="0"/>
          <wp:positionH relativeFrom="column">
            <wp:posOffset>-490220</wp:posOffset>
          </wp:positionH>
          <wp:positionV relativeFrom="paragraph">
            <wp:posOffset>112395</wp:posOffset>
          </wp:positionV>
          <wp:extent cx="3124200" cy="847725"/>
          <wp:effectExtent l="0" t="0" r="0" b="9525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3E9F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E0AD7EF" wp14:editId="010AE776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FAC"/>
    <w:multiLevelType w:val="hybridMultilevel"/>
    <w:tmpl w:val="38A8E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0E72"/>
    <w:multiLevelType w:val="hybridMultilevel"/>
    <w:tmpl w:val="B5E6E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1844"/>
    <w:multiLevelType w:val="hybridMultilevel"/>
    <w:tmpl w:val="DC0AE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546C3"/>
    <w:multiLevelType w:val="hybridMultilevel"/>
    <w:tmpl w:val="CCDCA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2700A"/>
    <w:multiLevelType w:val="hybridMultilevel"/>
    <w:tmpl w:val="323EF9FC"/>
    <w:lvl w:ilvl="0" w:tplc="0574776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5651F9"/>
    <w:multiLevelType w:val="hybridMultilevel"/>
    <w:tmpl w:val="FAE4A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950AD"/>
    <w:multiLevelType w:val="hybridMultilevel"/>
    <w:tmpl w:val="882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524"/>
    <w:rsid w:val="00031F56"/>
    <w:rsid w:val="00054EBC"/>
    <w:rsid w:val="0008349D"/>
    <w:rsid w:val="00090473"/>
    <w:rsid w:val="00091198"/>
    <w:rsid w:val="000E5EC5"/>
    <w:rsid w:val="00122B14"/>
    <w:rsid w:val="001241F1"/>
    <w:rsid w:val="00154A91"/>
    <w:rsid w:val="00187100"/>
    <w:rsid w:val="00190245"/>
    <w:rsid w:val="002017E8"/>
    <w:rsid w:val="00214377"/>
    <w:rsid w:val="00224A36"/>
    <w:rsid w:val="00261A1B"/>
    <w:rsid w:val="002A7467"/>
    <w:rsid w:val="002D4CE3"/>
    <w:rsid w:val="002F4EDE"/>
    <w:rsid w:val="002F641D"/>
    <w:rsid w:val="0034091F"/>
    <w:rsid w:val="00347A6B"/>
    <w:rsid w:val="00375825"/>
    <w:rsid w:val="003D6FD0"/>
    <w:rsid w:val="004C71B7"/>
    <w:rsid w:val="005A64D8"/>
    <w:rsid w:val="00645101"/>
    <w:rsid w:val="006A370D"/>
    <w:rsid w:val="006A3E9F"/>
    <w:rsid w:val="006B41A4"/>
    <w:rsid w:val="00711285"/>
    <w:rsid w:val="007258B7"/>
    <w:rsid w:val="00750DF0"/>
    <w:rsid w:val="007711AA"/>
    <w:rsid w:val="007A02E8"/>
    <w:rsid w:val="007B0F9D"/>
    <w:rsid w:val="007F4425"/>
    <w:rsid w:val="008B251A"/>
    <w:rsid w:val="008C6F6E"/>
    <w:rsid w:val="008E334E"/>
    <w:rsid w:val="008F4036"/>
    <w:rsid w:val="00907ABD"/>
    <w:rsid w:val="00907F12"/>
    <w:rsid w:val="0093128C"/>
    <w:rsid w:val="00957CD4"/>
    <w:rsid w:val="00A01223"/>
    <w:rsid w:val="00A05CE3"/>
    <w:rsid w:val="00A34386"/>
    <w:rsid w:val="00A40DF6"/>
    <w:rsid w:val="00A66710"/>
    <w:rsid w:val="00A970D6"/>
    <w:rsid w:val="00B0022E"/>
    <w:rsid w:val="00B9260F"/>
    <w:rsid w:val="00C0178E"/>
    <w:rsid w:val="00C44553"/>
    <w:rsid w:val="00C6762B"/>
    <w:rsid w:val="00C8090E"/>
    <w:rsid w:val="00C94228"/>
    <w:rsid w:val="00CB57FC"/>
    <w:rsid w:val="00CD59F5"/>
    <w:rsid w:val="00CF02A7"/>
    <w:rsid w:val="00CF4A2A"/>
    <w:rsid w:val="00DA3812"/>
    <w:rsid w:val="00DE04F6"/>
    <w:rsid w:val="00DF137E"/>
    <w:rsid w:val="00E0037E"/>
    <w:rsid w:val="00E50966"/>
    <w:rsid w:val="00E61235"/>
    <w:rsid w:val="00E66724"/>
    <w:rsid w:val="00F41B04"/>
    <w:rsid w:val="00F43B1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9A415-4F43-44A4-8406-A740C9D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71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3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091198"/>
    <w:pPr>
      <w:spacing w:after="0" w:line="240" w:lineRule="auto"/>
    </w:pPr>
    <w:rPr>
      <w:rFonts w:ascii="Arial" w:hAnsi="Arial" w:cs="Arial"/>
      <w:color w:val="44546A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091198"/>
    <w:rPr>
      <w:rFonts w:ascii="Arial" w:hAnsi="Arial" w:cs="Arial"/>
      <w:color w:val="44546A"/>
      <w:lang w:eastAsia="hu-HU"/>
    </w:rPr>
  </w:style>
  <w:style w:type="table" w:styleId="Vilgoslista5jellszn">
    <w:name w:val="Light List Accent 5"/>
    <w:basedOn w:val="Normltblzat"/>
    <w:uiPriority w:val="61"/>
    <w:semiHidden/>
    <w:unhideWhenUsed/>
    <w:rsid w:val="00E6123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E6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n_Katalin@phd.ce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2C51-C1EA-441C-B77F-AC999EEE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Udovecz Ákos</cp:lastModifiedBy>
  <cp:revision>4</cp:revision>
  <dcterms:created xsi:type="dcterms:W3CDTF">2019-05-14T14:17:00Z</dcterms:created>
  <dcterms:modified xsi:type="dcterms:W3CDTF">2019-05-15T13:21:00Z</dcterms:modified>
</cp:coreProperties>
</file>